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312" w:beforeLines="100" w:after="312" w:afterLines="100"/>
        <w:jc w:val="center"/>
        <w:outlineLvl w:val="0"/>
        <w:rPr>
          <w:rFonts w:hint="eastAsia" w:ascii="宋体" w:hAnsi="宋体" w:eastAsia="宋体" w:cs="宋体"/>
          <w:b/>
          <w:kern w:val="44"/>
          <w:sz w:val="32"/>
          <w:szCs w:val="32"/>
        </w:rPr>
      </w:pPr>
      <w:bookmarkStart w:id="0" w:name="_Toc113978725"/>
      <w:bookmarkStart w:id="1" w:name="_Toc112876217"/>
      <w:r>
        <w:rPr>
          <w:rFonts w:hint="eastAsia" w:ascii="宋体" w:hAnsi="宋体" w:eastAsia="宋体" w:cs="宋体"/>
          <w:b/>
          <w:kern w:val="44"/>
          <w:sz w:val="32"/>
          <w:szCs w:val="32"/>
        </w:rPr>
        <w:t>关于制订</w:t>
      </w:r>
      <w:r>
        <w:rPr>
          <w:rFonts w:hint="eastAsia" w:ascii="宋体" w:hAnsi="宋体" w:eastAsia="宋体" w:cs="宋体"/>
          <w:b/>
          <w:kern w:val="44"/>
          <w:sz w:val="32"/>
          <w:szCs w:val="32"/>
          <w:lang w:val="en-US" w:eastAsia="zh-CN"/>
        </w:rPr>
        <w:t>修订</w:t>
      </w:r>
      <w:r>
        <w:rPr>
          <w:rFonts w:hint="eastAsia" w:ascii="宋体" w:hAnsi="宋体" w:eastAsia="宋体" w:cs="宋体"/>
          <w:b/>
          <w:kern w:val="44"/>
          <w:sz w:val="32"/>
          <w:szCs w:val="32"/>
        </w:rPr>
        <w:t>专业学位硕士研究生培养方案的指导意见</w:t>
      </w:r>
      <w:bookmarkEnd w:id="0"/>
      <w:bookmarkEnd w:id="1"/>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为进一步规范我校研究生培养过程管理，保证并不断提高我校研究生培养质量，根据国家对研究生教育的新精神及各专业学位教学指导委员会的有关要求，结合学校专业学位硕士研究生培养实际，经学校研究决定对我校各专业领域专业学位硕士研究生培养方案进行制订修订，现就制订专业学位硕士研究生培养方案提出以下指导意见。</w:t>
      </w:r>
    </w:p>
    <w:p>
      <w:pPr>
        <w:keepNext/>
        <w:keepLines/>
        <w:spacing w:before="156" w:beforeLines="50" w:after="156" w:afterLines="50"/>
        <w:outlineLvl w:val="2"/>
        <w:rPr>
          <w:rFonts w:hint="eastAsia" w:ascii="宋体" w:hAnsi="宋体" w:eastAsia="宋体" w:cs="宋体"/>
          <w:b/>
          <w:bCs/>
          <w:kern w:val="0"/>
          <w:sz w:val="24"/>
          <w:szCs w:val="24"/>
        </w:rPr>
      </w:pPr>
      <w:bookmarkStart w:id="2" w:name="_Toc455393209"/>
      <w:bookmarkStart w:id="3" w:name="_Toc456781510"/>
      <w:bookmarkStart w:id="4" w:name="_Toc455392553"/>
      <w:bookmarkStart w:id="5" w:name="_Toc455392292"/>
      <w:r>
        <w:rPr>
          <w:rFonts w:hint="eastAsia" w:ascii="宋体" w:hAnsi="宋体" w:eastAsia="宋体" w:cs="宋体"/>
          <w:b/>
          <w:bCs/>
          <w:kern w:val="0"/>
          <w:sz w:val="24"/>
          <w:szCs w:val="24"/>
        </w:rPr>
        <w:t>一、制订修订培养方案的基本原则</w:t>
      </w:r>
      <w:bookmarkEnd w:id="2"/>
      <w:bookmarkEnd w:id="3"/>
      <w:bookmarkEnd w:id="4"/>
      <w:bookmarkEnd w:id="5"/>
    </w:p>
    <w:p>
      <w:pPr>
        <w:spacing w:line="400" w:lineRule="exact"/>
        <w:ind w:firstLine="480" w:firstLineChars="200"/>
        <w:rPr>
          <w:rFonts w:hint="eastAsia" w:ascii="宋体" w:hAnsi="宋体" w:eastAsia="宋体" w:cs="宋体"/>
          <w:sz w:val="24"/>
          <w:szCs w:val="24"/>
        </w:rPr>
      </w:pPr>
      <w:bookmarkStart w:id="6" w:name="_Toc455393210"/>
      <w:bookmarkStart w:id="7" w:name="_Toc456781511"/>
      <w:bookmarkStart w:id="8" w:name="_Toc455392293"/>
      <w:bookmarkStart w:id="9" w:name="_Toc455392554"/>
      <w:r>
        <w:rPr>
          <w:rFonts w:hint="eastAsia" w:ascii="宋体" w:hAnsi="宋体" w:eastAsia="宋体" w:cs="宋体"/>
          <w:sz w:val="24"/>
          <w:szCs w:val="24"/>
        </w:rPr>
        <w:t>（一）落实政策原则</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根据国家对研究生教育的新政策新要求，认真总结本学科的研究生培养经验，进一步落实“五育并举”“课程思政”“破五唯”等国家相关政策要求，优化研究生培养方案。</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（二）遵循规律原则</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专业学位是为国家经济建设和社会发展需要培养高层次应用型专门人才而设置的，具有明显的职业背景，其培养方案的制订要突出专业学位研究生教育的特色，遵循专业学位研究生教育的规律。</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（三）需求导向原则</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专业学位研究生培养方案应以职业需求为导向，以实际应用为目标，以综合素养和应用知识与能力的提高为核心，紧密结合我国经济社会和科技发展需求，面向企业（行业）工程实际。突出实践能力、应用能力、适应能力和实践创新能力的培养，在培养目标、课程设置、培养模式、质量标准等方面，与学术学位研究生应有所不同。</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（四）程序规范原则</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培养方案的制定修订应坚持多元主体参与，广泛征求意见，分学位委员会研究讨论，学校审核，保证程序规范。</w:t>
      </w:r>
    </w:p>
    <w:p>
      <w:pPr>
        <w:keepNext/>
        <w:keepLines/>
        <w:spacing w:before="156" w:beforeLines="50" w:after="156" w:afterLines="50"/>
        <w:outlineLvl w:val="2"/>
        <w:rPr>
          <w:rFonts w:hint="eastAsia" w:ascii="宋体" w:hAnsi="宋体" w:eastAsia="宋体" w:cs="宋体"/>
          <w:b/>
          <w:bCs/>
          <w:kern w:val="0"/>
          <w:sz w:val="24"/>
          <w:szCs w:val="24"/>
        </w:rPr>
      </w:pPr>
      <w:r>
        <w:rPr>
          <w:rFonts w:hint="eastAsia" w:ascii="宋体" w:hAnsi="宋体" w:eastAsia="宋体" w:cs="宋体"/>
          <w:b/>
          <w:bCs/>
          <w:kern w:val="0"/>
          <w:sz w:val="24"/>
          <w:szCs w:val="24"/>
        </w:rPr>
        <w:t>二、制订修订培养方案的基本内容</w:t>
      </w:r>
      <w:bookmarkEnd w:id="6"/>
      <w:bookmarkEnd w:id="7"/>
      <w:bookmarkEnd w:id="8"/>
      <w:bookmarkEnd w:id="9"/>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培养方案是研究生培养工作的主要依据，一般应包括：培养目标、研究方向、学制及学习年限、课程体系及学分要求、必修环节、科学研究与学位论文、培养方式与方法。培养方案应具有可操作性，便于考核、检查。</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（一）培养目标</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培养目标应根据国家对学位获得者的基本要求，结合本专业领域的特点，阐明对本专业领域硕士学位获得者在德、智、体、美、劳等方面的要求。基本要求是：</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1．拥护中国共产党的领导，热爱祖国，遵纪守法，具有服务国家和人民的高度社会责任感、良好的职业道德和创业精神、科学严谨和求真务实的学习态度和工作作风，身心健康。</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2．掌握所从事行业领域坚实的基础理论和宽广的专业知识，熟悉行业领域的相关规范，具有较强的解决实际问题的能力，能够承担专业技术或管理工作，具有良好的职业素养。</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3．掌握一门外国语，能熟练地进行专业阅读和写作。</w:t>
      </w:r>
    </w:p>
    <w:p>
      <w:pPr>
        <w:spacing w:line="400" w:lineRule="exact"/>
        <w:ind w:firstLine="480" w:firstLineChars="200"/>
        <w:rPr>
          <w:rFonts w:hint="eastAsia" w:ascii="宋体" w:hAnsi="宋体" w:eastAsia="宋体" w:cs="宋体"/>
          <w:sz w:val="24"/>
          <w:szCs w:val="24"/>
        </w:rPr>
      </w:pPr>
      <w:r>
        <w:rPr>
          <w:rFonts w:hint="eastAsia" w:ascii="宋体" w:hAnsi="宋体" w:cs="宋体"/>
          <w:sz w:val="24"/>
          <w:szCs w:val="24"/>
          <w:lang w:val="en-US" w:eastAsia="zh-CN"/>
        </w:rPr>
        <w:t xml:space="preserve">4. </w:t>
      </w:r>
      <w:r>
        <w:rPr>
          <w:rFonts w:hint="eastAsia" w:ascii="宋体" w:hAnsi="宋体" w:eastAsia="宋体" w:cs="宋体"/>
          <w:sz w:val="24"/>
          <w:szCs w:val="24"/>
        </w:rPr>
        <w:t>具有健康的体质与良好的心理素质。</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各专业领域应根据上述基本要求，参考各专业学位教学指导委员会意见，结合自身特点，在培养目标中提出更具体的要求。</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（二）研究方向</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专业学位硕士研究生根据所属专业领域，结合学科特色确定相应的研究方向，一般不超过4个。研究方向的设置应适合对专业领域人才培养的需要，不宜过细过窄。</w:t>
      </w:r>
    </w:p>
    <w:p>
      <w:pPr>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（三）学制及学习年限</w:t>
      </w:r>
    </w:p>
    <w:p>
      <w:pPr>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硕士研究生基础修业年限为3年，最长学习年限（含休学和保留学籍）为5年。研究生因服兵役保留学籍的时间不计入学习年限。</w:t>
      </w:r>
    </w:p>
    <w:p>
      <w:pPr>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研究生不能在基础修业年限内毕业的，须在基础修业年限期满前3个月办理延期手续，由本人申请，经导师同意、培养单位审核批准，报研究生院备案，并按规定报到注册，延期后的毕业时间不得超过相应的最长学习年限，学位（毕业）论文答辩通过的，不得再申请延期毕业。</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（四）课程体系及学分要求</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1．课程设置的基本要求</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专业学位硕士研究生课程设置应参考教育部《专业学位研究生核心课程指南》要求，课程内容要强调理论性与应用性课程的有机结合，突出案例分析和实践研究；教学过程要重视团队学习、案例分析、现场研究、模拟训练等方法；要注重培养学生研究实践问题的意识和能力。</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2.课程实行学分制</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思政类课程18学时计1学分；其他课程 16 学时计 1 学分，必修环节依照培养方案计算学分。</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3.课程分类及学分要求</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（1）公共必修课（8学分）。公共必修课为全体硕士生应学习的外语、政治、心理健康以及学术道德与论文写作课程。</w:t>
      </w:r>
    </w:p>
    <w:p>
      <w:pPr>
        <w:spacing w:line="400" w:lineRule="exact"/>
        <w:ind w:firstLine="480" w:firstLineChars="20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新时代中国特色社会主义理论与实践研究（必修）（第一学期）   2学分</w:t>
      </w:r>
    </w:p>
    <w:p>
      <w:pPr>
        <w:spacing w:line="400" w:lineRule="exact"/>
        <w:ind w:firstLine="480" w:firstLineChars="20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马克思主义与社会科学方法论（其他学科必修）（第二学期）     1学分</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自然辩证法（理工科必修） （第二学期）             1学分</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第一外国语（必修） （第一、二学期）               3学分</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心理健康教育（必修） （第一学期）                 1学分 </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学术道德与论文写作（必修） （第二学期）           1学分     </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（2）专业必修课（不少于12学分）。专业必修课为一级学科内硕士生应学习的共同性专业课程，应对照国务院学位委员会《</w:t>
      </w:r>
      <w:r>
        <w:rPr>
          <w:rFonts w:hint="eastAsia" w:ascii="宋体" w:hAnsi="宋体" w:cs="宋体"/>
          <w:color w:val="auto"/>
          <w:sz w:val="24"/>
          <w:szCs w:val="24"/>
          <w:lang w:val="en-US" w:eastAsia="zh-CN"/>
        </w:rPr>
        <w:t>专业</w:t>
      </w:r>
      <w:r>
        <w:rPr>
          <w:rFonts w:hint="eastAsia" w:ascii="宋体" w:hAnsi="宋体" w:eastAsia="宋体" w:cs="宋体"/>
          <w:color w:val="auto"/>
          <w:sz w:val="24"/>
          <w:szCs w:val="24"/>
          <w:lang w:val="en-US" w:eastAsia="zh-CN"/>
        </w:rPr>
        <w:t>学位研究生核心课程指南（试行）》设置，工科类研究生应开设数学类课程。</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（3）专业选修课（不少于6学分）。专业选修课是研究生进一步拓宽专业基础理论、扩大知识面及相应能力的培养而设置的课程。</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（4）公共选修课。公共选修课为提升研究生综合素质、外语水平、专业能力的基础类课程、国际交流类课程、学科前沿等各类课程。</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（5）补修课程不计学分，由一级学科组织安排，课程成绩不计入研究生成绩单。</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4.课程大纲</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培养方案所列课程均必须编写课程教学大纲。</w:t>
      </w:r>
      <w:bookmarkStart w:id="10" w:name="OLE_LINK1"/>
      <w:r>
        <w:rPr>
          <w:rFonts w:hint="eastAsia" w:ascii="宋体" w:hAnsi="宋体" w:eastAsia="宋体" w:cs="宋体"/>
          <w:color w:val="auto"/>
          <w:sz w:val="24"/>
          <w:szCs w:val="24"/>
          <w:lang w:val="en-US" w:eastAsia="zh-CN"/>
        </w:rPr>
        <w:t>课程大纲由课程负责人负责</w:t>
      </w:r>
      <w:r>
        <w:rPr>
          <w:rFonts w:hint="eastAsia" w:ascii="宋体" w:hAnsi="宋体" w:cs="宋体"/>
          <w:color w:val="auto"/>
          <w:sz w:val="24"/>
          <w:szCs w:val="24"/>
          <w:lang w:val="en-US" w:eastAsia="zh-CN"/>
        </w:rPr>
        <w:t>组织</w:t>
      </w:r>
      <w:r>
        <w:rPr>
          <w:rFonts w:hint="eastAsia" w:ascii="宋体" w:hAnsi="宋体" w:eastAsia="宋体" w:cs="宋体"/>
          <w:color w:val="auto"/>
          <w:sz w:val="24"/>
          <w:szCs w:val="24"/>
          <w:lang w:val="en-US" w:eastAsia="zh-CN"/>
        </w:rPr>
        <w:t>编写，须报相关学院学位评定分委员会和教学指导分委员会审定。</w:t>
      </w:r>
      <w:bookmarkEnd w:id="10"/>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（五）必修环节</w:t>
      </w:r>
    </w:p>
    <w:p>
      <w:pPr>
        <w:spacing w:line="4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必修环节为硕士生必须完成的各项培养环节，</w:t>
      </w:r>
      <w:r>
        <w:rPr>
          <w:rFonts w:hint="eastAsia" w:ascii="宋体" w:hAnsi="宋体" w:eastAsia="宋体" w:cs="宋体"/>
          <w:sz w:val="24"/>
          <w:szCs w:val="24"/>
          <w:lang w:val="en-US" w:eastAsia="zh-CN"/>
        </w:rPr>
        <w:t>总学分</w:t>
      </w:r>
      <w:r>
        <w:rPr>
          <w:rFonts w:hint="eastAsia" w:ascii="宋体" w:hAnsi="宋体" w:eastAsia="宋体" w:cs="宋体"/>
          <w:sz w:val="24"/>
          <w:szCs w:val="24"/>
        </w:rPr>
        <w:t>不少于5学分，应在第五学期</w:t>
      </w:r>
      <w:r>
        <w:rPr>
          <w:rFonts w:hint="eastAsia" w:ascii="宋体" w:hAnsi="宋体" w:eastAsia="宋体" w:cs="宋体"/>
          <w:sz w:val="24"/>
          <w:szCs w:val="24"/>
          <w:lang w:val="en-US" w:eastAsia="zh-CN"/>
        </w:rPr>
        <w:t>结束</w:t>
      </w:r>
      <w:r>
        <w:rPr>
          <w:rFonts w:hint="eastAsia" w:ascii="宋体" w:hAnsi="宋体" w:eastAsia="宋体" w:cs="宋体"/>
          <w:sz w:val="24"/>
          <w:szCs w:val="24"/>
        </w:rPr>
        <w:t>前完成，由导师审核，学院审批并给出通过结论。</w:t>
      </w:r>
      <w:r>
        <w:rPr>
          <w:rFonts w:hint="eastAsia" w:ascii="宋体" w:hAnsi="宋体" w:eastAsia="宋体" w:cs="宋体"/>
          <w:sz w:val="24"/>
          <w:szCs w:val="24"/>
          <w:lang w:val="en-US" w:eastAsia="zh-CN"/>
        </w:rPr>
        <w:t>必修环节固定设置为三项：文献阅读1学分、学术活动1学分、实践环节不少于3学分。其中，各学科个性化培养环节归入实践环节项目，具体学分设置由学科根据学科特色与培养要求自行细化设置二级项目，项目总学分不低于3学分。开题与中期考核、学位论文、毕业作品（展演、展示等）</w:t>
      </w:r>
      <w:r>
        <w:rPr>
          <w:rFonts w:hint="eastAsia" w:ascii="宋体" w:hAnsi="宋体" w:cs="宋体"/>
          <w:sz w:val="24"/>
          <w:szCs w:val="24"/>
          <w:lang w:val="en-US" w:eastAsia="zh-CN"/>
        </w:rPr>
        <w:t>、专业能力</w:t>
      </w:r>
      <w:r>
        <w:rPr>
          <w:rFonts w:hint="eastAsia" w:ascii="宋体" w:hAnsi="宋体" w:eastAsia="宋体" w:cs="宋体"/>
          <w:sz w:val="24"/>
          <w:szCs w:val="24"/>
          <w:lang w:val="en-US" w:eastAsia="zh-CN"/>
        </w:rPr>
        <w:t>展演展示</w:t>
      </w:r>
      <w:r>
        <w:rPr>
          <w:rFonts w:hint="eastAsia" w:ascii="宋体" w:hAnsi="宋体" w:cs="宋体"/>
          <w:sz w:val="24"/>
          <w:szCs w:val="24"/>
          <w:lang w:val="en-US" w:eastAsia="zh-CN"/>
        </w:rPr>
        <w:t>等</w:t>
      </w:r>
      <w:r>
        <w:rPr>
          <w:rFonts w:hint="eastAsia" w:ascii="宋体" w:hAnsi="宋体" w:eastAsia="宋体" w:cs="宋体"/>
          <w:sz w:val="24"/>
          <w:szCs w:val="24"/>
          <w:lang w:val="en-US" w:eastAsia="zh-CN"/>
        </w:rPr>
        <w:t>、学位论文预答辩、学位论文答辩等为研究生必须完成的环节，不纳入必修环节项目中，需单独设置，明确细化相应要求。</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必修环节</w:t>
      </w:r>
      <w:r>
        <w:rPr>
          <w:rFonts w:hint="eastAsia" w:ascii="宋体" w:hAnsi="宋体" w:eastAsia="宋体" w:cs="宋体"/>
          <w:sz w:val="24"/>
          <w:szCs w:val="24"/>
          <w:lang w:val="en-US" w:eastAsia="zh-CN"/>
        </w:rPr>
        <w:t>规范化</w:t>
      </w:r>
      <w:r>
        <w:rPr>
          <w:rFonts w:hint="eastAsia" w:ascii="宋体" w:hAnsi="宋体" w:eastAsia="宋体" w:cs="宋体"/>
          <w:sz w:val="24"/>
          <w:szCs w:val="24"/>
        </w:rPr>
        <w:t>设置如下：</w:t>
      </w:r>
    </w:p>
    <w:p>
      <w:pPr>
        <w:spacing w:line="4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rPr>
        <w:t>．</w:t>
      </w:r>
      <w:r>
        <w:rPr>
          <w:rFonts w:hint="eastAsia" w:ascii="宋体" w:hAnsi="宋体" w:eastAsia="宋体" w:cs="宋体"/>
          <w:sz w:val="24"/>
          <w:szCs w:val="24"/>
          <w:lang w:val="en-US" w:eastAsia="zh-CN"/>
        </w:rPr>
        <w:t>文献阅读（1学分）。各专业应对专业学位硕士研究生在学期间文献阅读量作出具体的规定与要求。专业学位硕士研究生应查阅本学科国内外文献40篇以上，其中外文文献不少于三分之一。硕士研究生至少应完成2次文献综述报告，分别在学位论文开题答辩前和第五学期结束前，并形成纸质材料。由导师审核，学院审批并给出通过结论</w:t>
      </w:r>
      <w:r>
        <w:rPr>
          <w:rFonts w:hint="eastAsia" w:ascii="宋体" w:hAnsi="宋体" w:cs="宋体"/>
          <w:sz w:val="24"/>
          <w:szCs w:val="24"/>
          <w:lang w:val="en-US" w:eastAsia="zh-CN"/>
        </w:rPr>
        <w:t>，记1个学分</w:t>
      </w:r>
      <w:r>
        <w:rPr>
          <w:rFonts w:hint="eastAsia" w:ascii="宋体" w:hAnsi="宋体" w:eastAsia="宋体" w:cs="宋体"/>
          <w:sz w:val="24"/>
          <w:szCs w:val="24"/>
          <w:lang w:val="en-US" w:eastAsia="zh-CN"/>
        </w:rPr>
        <w:t>。</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2.学术活动（1学分）。</w:t>
      </w:r>
      <w:r>
        <w:rPr>
          <w:rFonts w:hint="eastAsia" w:ascii="宋体" w:hAnsi="宋体" w:eastAsia="宋体" w:cs="宋体"/>
          <w:sz w:val="24"/>
          <w:szCs w:val="24"/>
        </w:rPr>
        <w:t>为了促使研究生能主动关心和了解国内外本学科前沿的发展动态，开阔视野，启发创造力，要求</w:t>
      </w:r>
      <w:r>
        <w:rPr>
          <w:rFonts w:hint="eastAsia" w:ascii="宋体" w:hAnsi="宋体" w:eastAsia="宋体" w:cs="宋体"/>
          <w:sz w:val="24"/>
          <w:szCs w:val="24"/>
          <w:lang w:val="en-US" w:eastAsia="zh-CN"/>
        </w:rPr>
        <w:t>硕士研究生在第五学期结束前，</w:t>
      </w:r>
      <w:r>
        <w:rPr>
          <w:rFonts w:hint="eastAsia" w:ascii="宋体" w:hAnsi="宋体" w:eastAsia="宋体" w:cs="宋体"/>
          <w:sz w:val="24"/>
          <w:szCs w:val="24"/>
        </w:rPr>
        <w:t>应参加</w:t>
      </w:r>
      <w:r>
        <w:rPr>
          <w:rFonts w:hint="eastAsia" w:ascii="宋体" w:hAnsi="宋体" w:eastAsia="宋体" w:cs="宋体"/>
          <w:sz w:val="24"/>
          <w:szCs w:val="24"/>
          <w:lang w:val="en-US" w:eastAsia="zh-CN"/>
        </w:rPr>
        <w:t>与本学科相关的</w:t>
      </w:r>
      <w:r>
        <w:rPr>
          <w:rFonts w:hint="eastAsia" w:ascii="宋体" w:hAnsi="宋体" w:eastAsia="宋体" w:cs="宋体"/>
          <w:sz w:val="24"/>
          <w:szCs w:val="24"/>
        </w:rPr>
        <w:t>学术活动不少于5次，且每次参加学术活动必须写出500字以上的心得</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并就本学科研究内容，至少公开作1次学术报告，做好活动记录并填写《硕士研究生学术活动记录本》，</w:t>
      </w:r>
      <w:r>
        <w:rPr>
          <w:rFonts w:hint="eastAsia" w:ascii="宋体" w:hAnsi="宋体" w:cs="宋体"/>
          <w:sz w:val="24"/>
          <w:szCs w:val="24"/>
          <w:lang w:val="en-US" w:eastAsia="zh-CN"/>
        </w:rPr>
        <w:t>由</w:t>
      </w:r>
      <w:r>
        <w:rPr>
          <w:rFonts w:hint="eastAsia" w:ascii="宋体" w:hAnsi="宋体" w:eastAsia="宋体" w:cs="宋体"/>
          <w:sz w:val="24"/>
          <w:szCs w:val="24"/>
          <w:lang w:val="en-US" w:eastAsia="zh-CN"/>
        </w:rPr>
        <w:t>导师</w:t>
      </w:r>
      <w:r>
        <w:rPr>
          <w:rFonts w:hint="eastAsia" w:ascii="宋体" w:hAnsi="宋体" w:eastAsia="宋体" w:cs="宋体"/>
          <w:sz w:val="24"/>
          <w:szCs w:val="24"/>
        </w:rPr>
        <w:t>审核，</w:t>
      </w:r>
      <w:r>
        <w:rPr>
          <w:rFonts w:hint="eastAsia" w:ascii="宋体" w:hAnsi="宋体" w:cs="宋体"/>
          <w:sz w:val="24"/>
          <w:szCs w:val="24"/>
          <w:lang w:eastAsia="zh-CN"/>
        </w:rPr>
        <w:t>学</w:t>
      </w:r>
      <w:r>
        <w:rPr>
          <w:rFonts w:hint="eastAsia" w:ascii="宋体" w:hAnsi="宋体" w:eastAsia="宋体" w:cs="宋体"/>
          <w:sz w:val="24"/>
          <w:szCs w:val="24"/>
          <w:lang w:val="en-US" w:eastAsia="zh-CN"/>
        </w:rPr>
        <w:t>院审批并给出通过结论，</w:t>
      </w:r>
      <w:r>
        <w:rPr>
          <w:rFonts w:hint="eastAsia" w:ascii="宋体" w:hAnsi="宋体" w:eastAsia="宋体" w:cs="宋体"/>
          <w:sz w:val="24"/>
          <w:szCs w:val="24"/>
        </w:rPr>
        <w:t>记1个学分。</w:t>
      </w:r>
    </w:p>
    <w:p>
      <w:pPr>
        <w:spacing w:line="4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rPr>
        <w:t>．实践环节</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不少于3学分）</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（1）专业实践</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2学分，此项必选）</w:t>
      </w:r>
    </w:p>
    <w:p>
      <w:pPr>
        <w:spacing w:line="400" w:lineRule="exact"/>
        <w:ind w:firstLine="480" w:firstLineChars="200"/>
        <w:rPr>
          <w:rFonts w:hint="eastAsia" w:ascii="宋体" w:hAnsi="宋体" w:eastAsia="宋体" w:cs="宋体"/>
          <w:b/>
          <w:bCs/>
          <w:color w:val="auto"/>
          <w:sz w:val="24"/>
          <w:szCs w:val="24"/>
          <w:lang w:val="en-US" w:eastAsia="zh-CN"/>
        </w:rPr>
      </w:pPr>
      <w:r>
        <w:rPr>
          <w:rFonts w:hint="eastAsia" w:ascii="宋体" w:hAnsi="宋体" w:eastAsia="宋体" w:cs="宋体"/>
          <w:color w:val="auto"/>
          <w:sz w:val="24"/>
          <w:szCs w:val="24"/>
          <w:lang w:val="en-US" w:eastAsia="zh-CN"/>
        </w:rPr>
        <w:t>专业学位硕士研究生在学期间，必须保证不少于半年的专业实践，可采用集中实践与分段实践相结合的方式，一般依托本专业领域的省</w:t>
      </w:r>
      <w:r>
        <w:rPr>
          <w:rFonts w:hint="eastAsia" w:ascii="宋体" w:hAnsi="宋体" w:eastAsia="宋体" w:cs="宋体"/>
          <w:b w:val="0"/>
          <w:bCs w:val="0"/>
          <w:color w:val="auto"/>
          <w:sz w:val="24"/>
          <w:szCs w:val="24"/>
          <w:lang w:val="en-US" w:eastAsia="zh-CN"/>
        </w:rPr>
        <w:t>级、校级、院级研究生工作站和专硕校外实践基地完成。专业实践在校内导师和校外行（企）业导师的共同指导下，结合工程实际岗位，主要进行专业综合实践和应用能力训练，专业实践合格者记2学分。</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专业实践是专业学位硕士研究生培养的必备过程，研究生要提交实践计划，撰写不少于5000字的实践总结报告。</w:t>
      </w:r>
      <w:r>
        <w:rPr>
          <w:rFonts w:hint="eastAsia" w:ascii="宋体" w:hAnsi="宋体" w:cs="宋体"/>
          <w:color w:val="auto"/>
          <w:sz w:val="24"/>
          <w:szCs w:val="24"/>
          <w:lang w:val="en-US" w:eastAsia="zh-CN"/>
        </w:rPr>
        <w:t>培养单位</w:t>
      </w:r>
      <w:r>
        <w:rPr>
          <w:rFonts w:hint="eastAsia" w:ascii="宋体" w:hAnsi="宋体" w:eastAsia="宋体" w:cs="宋体"/>
          <w:color w:val="auto"/>
          <w:sz w:val="24"/>
          <w:szCs w:val="24"/>
          <w:lang w:val="en-US" w:eastAsia="zh-CN"/>
        </w:rPr>
        <w:t>对研究生实践环节实行全过程管理和质量评价，确保实践教学质量。</w:t>
      </w:r>
      <w:r>
        <w:rPr>
          <w:rFonts w:hint="eastAsia" w:ascii="宋体" w:hAnsi="宋体" w:cs="宋体"/>
          <w:b w:val="0"/>
          <w:bCs w:val="0"/>
          <w:color w:val="auto"/>
          <w:sz w:val="24"/>
          <w:szCs w:val="24"/>
          <w:lang w:val="en-US" w:eastAsia="zh-CN"/>
        </w:rPr>
        <w:t>专业实践一般应从第三学期开始，第四学期结束前完成，并提交实践总结报告。</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各培养单位要提供和保障开展实践的条件，注重吸纳和使用社会资源，建立多种形式的专硕实践基地，改革创新实践性教学模式，联合培养专业学位硕士研究生。</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专业实践应编制实践大纲，实践大纲由学位点负责人负责组织编写，须报相关学院学位评定分委员会和教学指导分委员会审定。</w:t>
      </w:r>
    </w:p>
    <w:p>
      <w:pPr>
        <w:spacing w:line="4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（2）助研、</w:t>
      </w:r>
      <w:r>
        <w:rPr>
          <w:rFonts w:hint="eastAsia" w:ascii="宋体" w:hAnsi="宋体" w:cs="宋体"/>
          <w:sz w:val="24"/>
          <w:szCs w:val="24"/>
          <w:lang w:val="en-US" w:eastAsia="zh-CN"/>
        </w:rPr>
        <w:t>助教、</w:t>
      </w:r>
      <w:r>
        <w:rPr>
          <w:rFonts w:hint="eastAsia" w:ascii="宋体" w:hAnsi="宋体" w:eastAsia="宋体" w:cs="宋体"/>
          <w:sz w:val="24"/>
          <w:szCs w:val="24"/>
        </w:rPr>
        <w:t>助管</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1学分，此项非必选，学科决定是否选入）</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研究生担任助研、</w:t>
      </w:r>
      <w:r>
        <w:rPr>
          <w:rFonts w:hint="eastAsia" w:ascii="宋体" w:hAnsi="宋体" w:cs="宋体"/>
          <w:sz w:val="24"/>
          <w:szCs w:val="24"/>
          <w:lang w:val="en-US" w:eastAsia="zh-CN"/>
        </w:rPr>
        <w:t>助教或</w:t>
      </w:r>
      <w:r>
        <w:rPr>
          <w:rFonts w:hint="eastAsia" w:ascii="宋体" w:hAnsi="宋体" w:eastAsia="宋体" w:cs="宋体"/>
          <w:sz w:val="24"/>
          <w:szCs w:val="24"/>
        </w:rPr>
        <w:t>助管工作，其目的是培养研究生的综合能力，是研究生培养过程的有机组成部分。完成至少一个标准岗位的助研、</w:t>
      </w:r>
      <w:r>
        <w:rPr>
          <w:rFonts w:hint="eastAsia" w:ascii="宋体" w:hAnsi="宋体" w:cs="宋体"/>
          <w:sz w:val="24"/>
          <w:szCs w:val="24"/>
          <w:lang w:val="en-US" w:eastAsia="zh-CN"/>
        </w:rPr>
        <w:t>助教或</w:t>
      </w:r>
      <w:r>
        <w:rPr>
          <w:rFonts w:hint="eastAsia" w:ascii="宋体" w:hAnsi="宋体" w:eastAsia="宋体" w:cs="宋体"/>
          <w:sz w:val="24"/>
          <w:szCs w:val="24"/>
        </w:rPr>
        <w:t>助管工作通过后记1学分。研究生担任助研、</w:t>
      </w:r>
      <w:r>
        <w:rPr>
          <w:rFonts w:hint="eastAsia" w:ascii="宋体" w:hAnsi="宋体" w:cs="宋体"/>
          <w:sz w:val="24"/>
          <w:szCs w:val="24"/>
          <w:lang w:val="en-US" w:eastAsia="zh-CN"/>
        </w:rPr>
        <w:t>助教或</w:t>
      </w:r>
      <w:r>
        <w:rPr>
          <w:rFonts w:hint="eastAsia" w:ascii="宋体" w:hAnsi="宋体" w:eastAsia="宋体" w:cs="宋体"/>
          <w:sz w:val="24"/>
          <w:szCs w:val="24"/>
        </w:rPr>
        <w:t>助管的相关要求和考核办法等参照学校研究生“三助”工作有关规定执行。</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（3）创新创业竞赛</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1学分，此项非必选，学科决定是否选入）</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规范和促进研究生科研成果转化，鼓励研究生开展创业实践，提高创业技能。研究生在读期间，参与并完成我校各类创新创业竞赛，学院审核通过后记1学分。</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4</w:t>
      </w:r>
      <w:r>
        <w:rPr>
          <w:rFonts w:hint="eastAsia" w:ascii="宋体" w:hAnsi="宋体" w:eastAsia="宋体" w:cs="宋体"/>
          <w:sz w:val="24"/>
          <w:szCs w:val="24"/>
        </w:rPr>
        <w:t>）国际交流</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1学分，此项非必选，学科决定是否选入）</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研究生在读期间通过各类项目赴境外高校、科研机构学习、交流合作（不少于</w:t>
      </w:r>
      <w:r>
        <w:rPr>
          <w:rFonts w:hint="eastAsia" w:ascii="宋体" w:hAnsi="宋体" w:cs="宋体"/>
          <w:sz w:val="24"/>
          <w:szCs w:val="24"/>
          <w:lang w:val="en-US" w:eastAsia="zh-CN"/>
        </w:rPr>
        <w:t>3个月</w:t>
      </w:r>
      <w:bookmarkStart w:id="15" w:name="_GoBack"/>
      <w:bookmarkEnd w:id="15"/>
      <w:r>
        <w:rPr>
          <w:rFonts w:hint="eastAsia" w:ascii="宋体" w:hAnsi="宋体" w:eastAsia="宋体" w:cs="宋体"/>
          <w:sz w:val="24"/>
          <w:szCs w:val="24"/>
        </w:rPr>
        <w:t>），或参加一次境外国际学术会议并做口头报告。学院审核通过后记1学分。</w:t>
      </w:r>
    </w:p>
    <w:p>
      <w:pPr>
        <w:spacing w:line="4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5</w:t>
      </w:r>
      <w:r>
        <w:rPr>
          <w:rFonts w:hint="eastAsia" w:ascii="宋体" w:hAnsi="宋体" w:eastAsia="宋体" w:cs="宋体"/>
          <w:color w:val="auto"/>
          <w:sz w:val="24"/>
          <w:szCs w:val="24"/>
          <w:lang w:val="en-US" w:eastAsia="zh-CN"/>
        </w:rPr>
        <w:t>）</w:t>
      </w:r>
      <w:r>
        <w:rPr>
          <w:rFonts w:hint="eastAsia" w:ascii="宋体" w:hAnsi="宋体" w:eastAsia="宋体" w:cs="宋体"/>
          <w:b w:val="0"/>
          <w:bCs w:val="0"/>
          <w:sz w:val="24"/>
          <w:szCs w:val="24"/>
          <w:lang w:val="en-US" w:eastAsia="zh-CN"/>
        </w:rPr>
        <w:t>其他实</w:t>
      </w:r>
      <w:r>
        <w:rPr>
          <w:rFonts w:hint="eastAsia" w:ascii="宋体" w:hAnsi="宋体" w:eastAsia="宋体" w:cs="宋体"/>
          <w:sz w:val="24"/>
          <w:szCs w:val="24"/>
          <w:lang w:val="en-US" w:eastAsia="zh-CN"/>
        </w:rPr>
        <w:t>践环节（学分及要求由学科自定）</w:t>
      </w:r>
    </w:p>
    <w:p>
      <w:pPr>
        <w:spacing w:line="4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学科根据专硕教指委要求和学科特色与培养要求自行细化设置的其他实践环节，</w:t>
      </w:r>
      <w:r>
        <w:rPr>
          <w:rFonts w:hint="eastAsia" w:ascii="宋体" w:hAnsi="宋体" w:eastAsia="宋体" w:cs="宋体"/>
          <w:b/>
          <w:bCs/>
          <w:sz w:val="24"/>
          <w:szCs w:val="24"/>
          <w:lang w:val="en-US" w:eastAsia="zh-CN"/>
        </w:rPr>
        <w:t>例如教育硕士的</w:t>
      </w:r>
      <w:r>
        <w:rPr>
          <w:rFonts w:hint="eastAsia" w:ascii="宋体" w:hAnsi="宋体" w:cs="宋体"/>
          <w:b/>
          <w:bCs/>
          <w:sz w:val="24"/>
          <w:szCs w:val="24"/>
          <w:lang w:val="en-US" w:eastAsia="zh-CN"/>
        </w:rPr>
        <w:t>校内实训、</w:t>
      </w:r>
      <w:r>
        <w:rPr>
          <w:rFonts w:hint="eastAsia" w:ascii="宋体" w:hAnsi="宋体" w:eastAsia="宋体" w:cs="宋体"/>
          <w:b/>
          <w:bCs/>
          <w:sz w:val="24"/>
          <w:szCs w:val="24"/>
          <w:lang w:val="en-US" w:eastAsia="zh-CN"/>
        </w:rPr>
        <w:t>教育</w:t>
      </w:r>
      <w:r>
        <w:rPr>
          <w:rFonts w:hint="eastAsia" w:ascii="宋体" w:hAnsi="宋体" w:cs="宋体"/>
          <w:b/>
          <w:bCs/>
          <w:sz w:val="24"/>
          <w:szCs w:val="24"/>
          <w:lang w:val="en-US" w:eastAsia="zh-CN"/>
        </w:rPr>
        <w:t>见习、教育</w:t>
      </w:r>
      <w:r>
        <w:rPr>
          <w:rFonts w:hint="eastAsia" w:ascii="宋体" w:hAnsi="宋体" w:eastAsia="宋体" w:cs="宋体"/>
          <w:b/>
          <w:bCs/>
          <w:sz w:val="24"/>
          <w:szCs w:val="24"/>
          <w:lang w:val="en-US" w:eastAsia="zh-CN"/>
        </w:rPr>
        <w:t>实习、教育研习，临床医学硕士的</w:t>
      </w:r>
      <w:r>
        <w:rPr>
          <w:rFonts w:hint="eastAsia" w:ascii="宋体" w:hAnsi="宋体" w:cs="宋体"/>
          <w:b/>
          <w:bCs/>
          <w:sz w:val="24"/>
          <w:szCs w:val="24"/>
          <w:lang w:val="en-US" w:eastAsia="zh-CN"/>
        </w:rPr>
        <w:t>临床教学实践、临床技能实践、艺术类专硕的开放性实践课程、会计硕士的案例研究与开发，体育硕士的校内实训、校外实践等</w:t>
      </w:r>
      <w:r>
        <w:rPr>
          <w:rFonts w:hint="eastAsia" w:ascii="宋体" w:hAnsi="宋体" w:eastAsia="宋体" w:cs="宋体"/>
          <w:sz w:val="24"/>
          <w:szCs w:val="24"/>
          <w:lang w:val="en-US" w:eastAsia="zh-CN"/>
        </w:rPr>
        <w:t>。</w:t>
      </w:r>
      <w:r>
        <w:rPr>
          <w:rFonts w:hint="eastAsia" w:ascii="宋体" w:hAnsi="宋体" w:cs="宋体"/>
          <w:sz w:val="24"/>
          <w:szCs w:val="24"/>
          <w:lang w:val="en-US" w:eastAsia="zh-CN"/>
        </w:rPr>
        <w:t>如学科没有特色实践环节，此项可不设置，只需选用以上（1）-（4）项即可</w:t>
      </w:r>
      <w:r>
        <w:rPr>
          <w:rFonts w:hint="eastAsia" w:ascii="宋体" w:hAnsi="宋体" w:eastAsia="宋体" w:cs="宋体"/>
          <w:sz w:val="24"/>
          <w:szCs w:val="24"/>
          <w:lang w:val="en-US" w:eastAsia="zh-CN"/>
        </w:rPr>
        <w:t>。</w:t>
      </w:r>
    </w:p>
    <w:p>
      <w:pPr>
        <w:spacing w:line="400" w:lineRule="exact"/>
        <w:ind w:firstLine="482" w:firstLineChars="200"/>
        <w:jc w:val="center"/>
        <w:rPr>
          <w:rFonts w:hint="eastAsia" w:ascii="宋体" w:hAnsi="宋体" w:cs="宋体"/>
          <w:b/>
          <w:bCs/>
          <w:sz w:val="24"/>
          <w:szCs w:val="24"/>
          <w:lang w:val="en-US" w:eastAsia="zh-CN"/>
        </w:rPr>
      </w:pPr>
      <w:r>
        <w:rPr>
          <w:rFonts w:hint="eastAsia" w:ascii="宋体" w:hAnsi="宋体" w:cs="宋体"/>
          <w:b/>
          <w:bCs/>
          <w:sz w:val="24"/>
          <w:szCs w:val="24"/>
          <w:lang w:val="en-US" w:eastAsia="zh-CN"/>
        </w:rPr>
        <w:t>必修环节设置框架</w:t>
      </w:r>
    </w:p>
    <w:tbl>
      <w:tblPr>
        <w:tblStyle w:val="4"/>
        <w:tblW w:w="8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2"/>
        <w:gridCol w:w="2186"/>
        <w:gridCol w:w="5"/>
        <w:gridCol w:w="3155"/>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963" w:type="dxa"/>
            <w:gridSpan w:val="3"/>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仿宋_GB2312" w:hAnsi="仿宋_GB2312" w:eastAsia="仿宋_GB2312" w:cs="仿宋_GB2312"/>
                <w:b/>
                <w:bCs/>
                <w:kern w:val="2"/>
                <w:sz w:val="20"/>
                <w:szCs w:val="20"/>
                <w:highlight w:val="none"/>
                <w:vertAlign w:val="baseline"/>
                <w:lang w:val="en-US" w:eastAsia="zh-CN" w:bidi="ar-SA"/>
              </w:rPr>
            </w:pPr>
            <w:r>
              <w:rPr>
                <w:rFonts w:hint="eastAsia" w:ascii="仿宋_GB2312" w:hAnsi="仿宋_GB2312" w:eastAsia="仿宋_GB2312" w:cs="仿宋_GB2312"/>
                <w:b/>
                <w:bCs/>
                <w:kern w:val="2"/>
                <w:sz w:val="20"/>
                <w:szCs w:val="20"/>
                <w:highlight w:val="none"/>
                <w:vertAlign w:val="baseline"/>
                <w:lang w:val="en-US" w:eastAsia="zh-CN" w:bidi="ar-SA"/>
              </w:rPr>
              <w:t>名称</w:t>
            </w:r>
          </w:p>
        </w:tc>
        <w:tc>
          <w:tcPr>
            <w:tcW w:w="3155" w:type="dxa"/>
            <w:shd w:val="clear" w:color="auto" w:fill="auto"/>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left="0" w:leftChars="0" w:right="0" w:rightChars="0" w:firstLine="0" w:firstLineChars="0"/>
              <w:jc w:val="center"/>
              <w:textAlignment w:val="auto"/>
              <w:outlineLvl w:val="9"/>
              <w:rPr>
                <w:rFonts w:hint="eastAsia" w:ascii="仿宋_GB2312" w:hAnsi="仿宋_GB2312" w:eastAsia="仿宋_GB2312" w:cs="仿宋_GB2312"/>
                <w:b/>
                <w:bCs/>
                <w:kern w:val="2"/>
                <w:sz w:val="20"/>
                <w:szCs w:val="20"/>
                <w:highlight w:val="none"/>
                <w:vertAlign w:val="baseline"/>
                <w:lang w:val="en-US" w:eastAsia="zh-CN" w:bidi="ar-SA"/>
              </w:rPr>
            </w:pPr>
            <w:r>
              <w:rPr>
                <w:rFonts w:hint="eastAsia" w:ascii="仿宋_GB2312" w:hAnsi="仿宋_GB2312" w:eastAsia="仿宋_GB2312" w:cs="仿宋_GB2312"/>
                <w:b/>
                <w:bCs/>
                <w:kern w:val="2"/>
                <w:sz w:val="20"/>
                <w:szCs w:val="20"/>
                <w:highlight w:val="none"/>
                <w:vertAlign w:val="baseline"/>
                <w:lang w:val="en-US" w:eastAsia="zh-CN" w:bidi="ar-SA"/>
              </w:rPr>
              <w:t>内容与要求</w:t>
            </w:r>
          </w:p>
        </w:tc>
        <w:tc>
          <w:tcPr>
            <w:tcW w:w="1077" w:type="dxa"/>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仿宋_GB2312" w:hAnsi="仿宋_GB2312" w:eastAsia="仿宋_GB2312" w:cs="仿宋_GB2312"/>
                <w:b/>
                <w:bCs/>
                <w:kern w:val="2"/>
                <w:sz w:val="20"/>
                <w:szCs w:val="20"/>
                <w:highlight w:val="none"/>
                <w:vertAlign w:val="baseline"/>
                <w:lang w:val="en-US" w:eastAsia="zh-CN" w:bidi="ar-SA"/>
              </w:rPr>
            </w:pPr>
            <w:r>
              <w:rPr>
                <w:rFonts w:hint="eastAsia" w:ascii="仿宋_GB2312" w:hAnsi="仿宋_GB2312" w:eastAsia="仿宋_GB2312" w:cs="仿宋_GB2312"/>
                <w:b/>
                <w:bCs/>
                <w:kern w:val="2"/>
                <w:sz w:val="20"/>
                <w:szCs w:val="20"/>
                <w:highlight w:val="none"/>
                <w:vertAlign w:val="baseline"/>
                <w:lang w:val="en-US" w:eastAsia="zh-CN" w:bidi="ar-S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3" w:type="dxa"/>
            <w:gridSpan w:val="3"/>
            <w:shd w:val="clear" w:color="auto" w:fill="auto"/>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default"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文献阅读（1学分）</w:t>
            </w:r>
          </w:p>
        </w:tc>
        <w:tc>
          <w:tcPr>
            <w:tcW w:w="3155" w:type="dxa"/>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both"/>
              <w:textAlignment w:val="auto"/>
              <w:outlineLvl w:val="9"/>
              <w:rPr>
                <w:rFonts w:hint="default" w:ascii="仿宋_GB2312" w:hAnsi="仿宋_GB2312" w:eastAsia="仿宋_GB2312" w:cs="仿宋_GB2312"/>
                <w:b/>
                <w:bCs/>
                <w:kern w:val="2"/>
                <w:sz w:val="20"/>
                <w:szCs w:val="20"/>
                <w:highlight w:val="none"/>
                <w:vertAlign w:val="baseline"/>
                <w:lang w:val="en-US" w:eastAsia="zh-CN" w:bidi="ar-SA"/>
              </w:rPr>
            </w:pPr>
          </w:p>
        </w:tc>
        <w:tc>
          <w:tcPr>
            <w:tcW w:w="1077" w:type="dxa"/>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default"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必选项目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3" w:type="dxa"/>
            <w:gridSpan w:val="3"/>
            <w:shd w:val="clear" w:color="auto" w:fill="auto"/>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default"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学术活动（1学分）</w:t>
            </w:r>
          </w:p>
        </w:tc>
        <w:tc>
          <w:tcPr>
            <w:tcW w:w="3155" w:type="dxa"/>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both"/>
              <w:textAlignment w:val="auto"/>
              <w:outlineLvl w:val="9"/>
              <w:rPr>
                <w:rFonts w:hint="default" w:ascii="仿宋_GB2312" w:hAnsi="仿宋_GB2312" w:eastAsia="仿宋_GB2312" w:cs="仿宋_GB2312"/>
                <w:b/>
                <w:bCs/>
                <w:kern w:val="2"/>
                <w:sz w:val="20"/>
                <w:szCs w:val="20"/>
                <w:highlight w:val="none"/>
                <w:vertAlign w:val="baseline"/>
                <w:lang w:val="en-US" w:eastAsia="zh-CN" w:bidi="ar-SA"/>
              </w:rPr>
            </w:pPr>
          </w:p>
        </w:tc>
        <w:tc>
          <w:tcPr>
            <w:tcW w:w="1077" w:type="dxa"/>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default"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必选项目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2" w:type="dxa"/>
            <w:vMerge w:val="restart"/>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实践环节</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（不少于3学分）</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仿宋_GB2312" w:hAnsi="仿宋_GB2312" w:eastAsia="仿宋_GB2312" w:cs="仿宋_GB2312"/>
                <w:b w:val="0"/>
                <w:bCs w:val="0"/>
                <w:kern w:val="2"/>
                <w:sz w:val="20"/>
                <w:szCs w:val="20"/>
                <w:highlight w:val="none"/>
                <w:vertAlign w:val="baseline"/>
                <w:lang w:val="en-US" w:eastAsia="zh-CN" w:bidi="ar-SA"/>
              </w:rPr>
            </w:pPr>
          </w:p>
        </w:tc>
        <w:tc>
          <w:tcPr>
            <w:tcW w:w="2186" w:type="dxa"/>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default"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（1）专业实践（2学分）</w:t>
            </w:r>
          </w:p>
        </w:tc>
        <w:tc>
          <w:tcPr>
            <w:tcW w:w="3160" w:type="dxa"/>
            <w:gridSpan w:val="2"/>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both"/>
              <w:textAlignment w:val="auto"/>
              <w:outlineLvl w:val="9"/>
              <w:rPr>
                <w:rFonts w:hint="default" w:ascii="仿宋_GB2312" w:hAnsi="仿宋_GB2312" w:eastAsia="仿宋_GB2312" w:cs="仿宋_GB2312"/>
                <w:b/>
                <w:bCs/>
                <w:kern w:val="2"/>
                <w:sz w:val="20"/>
                <w:szCs w:val="20"/>
                <w:highlight w:val="none"/>
                <w:vertAlign w:val="baseline"/>
                <w:lang w:val="en-US" w:eastAsia="zh-CN" w:bidi="ar-SA"/>
              </w:rPr>
            </w:pPr>
          </w:p>
        </w:tc>
        <w:tc>
          <w:tcPr>
            <w:tcW w:w="1077" w:type="dxa"/>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default"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必选项目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2" w:type="dxa"/>
            <w:vMerge w:val="continue"/>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仿宋_GB2312" w:hAnsi="仿宋_GB2312" w:eastAsia="仿宋_GB2312" w:cs="仿宋_GB2312"/>
                <w:b w:val="0"/>
                <w:bCs w:val="0"/>
                <w:kern w:val="2"/>
                <w:sz w:val="20"/>
                <w:szCs w:val="20"/>
                <w:highlight w:val="none"/>
                <w:vertAlign w:val="baseline"/>
                <w:lang w:val="en-US" w:eastAsia="zh-CN" w:bidi="ar-SA"/>
              </w:rPr>
            </w:pPr>
          </w:p>
        </w:tc>
        <w:tc>
          <w:tcPr>
            <w:tcW w:w="2186" w:type="dxa"/>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default"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w:t>
            </w:r>
          </w:p>
        </w:tc>
        <w:tc>
          <w:tcPr>
            <w:tcW w:w="3160" w:type="dxa"/>
            <w:gridSpan w:val="2"/>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both"/>
              <w:textAlignment w:val="auto"/>
              <w:outlineLvl w:val="9"/>
              <w:rPr>
                <w:rFonts w:hint="default" w:ascii="仿宋_GB2312" w:hAnsi="仿宋_GB2312" w:eastAsia="仿宋_GB2312" w:cs="仿宋_GB2312"/>
                <w:b/>
                <w:bCs/>
                <w:kern w:val="2"/>
                <w:sz w:val="20"/>
                <w:szCs w:val="20"/>
                <w:highlight w:val="none"/>
                <w:vertAlign w:val="baseline"/>
                <w:lang w:val="en-US" w:eastAsia="zh-CN" w:bidi="ar-SA"/>
              </w:rPr>
            </w:pPr>
          </w:p>
        </w:tc>
        <w:tc>
          <w:tcPr>
            <w:tcW w:w="1077" w:type="dxa"/>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default"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自选项目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2" w:type="dxa"/>
            <w:vMerge w:val="continue"/>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仿宋_GB2312" w:hAnsi="仿宋_GB2312" w:eastAsia="仿宋_GB2312" w:cs="仿宋_GB2312"/>
                <w:b w:val="0"/>
                <w:bCs w:val="0"/>
                <w:kern w:val="2"/>
                <w:sz w:val="20"/>
                <w:szCs w:val="20"/>
                <w:highlight w:val="none"/>
                <w:vertAlign w:val="baseline"/>
                <w:lang w:val="en-US" w:eastAsia="zh-CN" w:bidi="ar-SA"/>
              </w:rPr>
            </w:pPr>
          </w:p>
        </w:tc>
        <w:tc>
          <w:tcPr>
            <w:tcW w:w="2186" w:type="dxa"/>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default"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w:t>
            </w:r>
          </w:p>
        </w:tc>
        <w:tc>
          <w:tcPr>
            <w:tcW w:w="3160" w:type="dxa"/>
            <w:gridSpan w:val="2"/>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both"/>
              <w:textAlignment w:val="auto"/>
              <w:outlineLvl w:val="9"/>
              <w:rPr>
                <w:rFonts w:hint="default" w:ascii="仿宋_GB2312" w:hAnsi="仿宋_GB2312" w:eastAsia="仿宋_GB2312" w:cs="仿宋_GB2312"/>
                <w:b/>
                <w:bCs/>
                <w:kern w:val="2"/>
                <w:sz w:val="20"/>
                <w:szCs w:val="20"/>
                <w:highlight w:val="none"/>
                <w:vertAlign w:val="baseline"/>
                <w:lang w:val="en-US" w:eastAsia="zh-CN" w:bidi="ar-SA"/>
              </w:rPr>
            </w:pPr>
          </w:p>
        </w:tc>
        <w:tc>
          <w:tcPr>
            <w:tcW w:w="1077" w:type="dxa"/>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left="0" w:leftChars="0" w:right="0" w:rightChars="0" w:firstLine="0" w:firstLineChars="0"/>
              <w:jc w:val="center"/>
              <w:textAlignment w:val="auto"/>
              <w:outlineLvl w:val="9"/>
              <w:rPr>
                <w:rFonts w:hint="default"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自选项目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2" w:type="dxa"/>
            <w:vMerge w:val="continue"/>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仿宋_GB2312" w:hAnsi="仿宋_GB2312" w:eastAsia="仿宋_GB2312" w:cs="仿宋_GB2312"/>
                <w:b w:val="0"/>
                <w:bCs w:val="0"/>
                <w:kern w:val="2"/>
                <w:sz w:val="20"/>
                <w:szCs w:val="20"/>
                <w:highlight w:val="none"/>
                <w:vertAlign w:val="baseline"/>
                <w:lang w:val="en-US" w:eastAsia="zh-CN" w:bidi="ar-SA"/>
              </w:rPr>
            </w:pPr>
          </w:p>
        </w:tc>
        <w:tc>
          <w:tcPr>
            <w:tcW w:w="2186" w:type="dxa"/>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default"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w:t>
            </w:r>
          </w:p>
        </w:tc>
        <w:tc>
          <w:tcPr>
            <w:tcW w:w="3160" w:type="dxa"/>
            <w:gridSpan w:val="2"/>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both"/>
              <w:textAlignment w:val="auto"/>
              <w:outlineLvl w:val="9"/>
              <w:rPr>
                <w:rFonts w:hint="default" w:ascii="仿宋_GB2312" w:hAnsi="仿宋_GB2312" w:eastAsia="仿宋_GB2312" w:cs="仿宋_GB2312"/>
                <w:b/>
                <w:bCs/>
                <w:kern w:val="2"/>
                <w:sz w:val="20"/>
                <w:szCs w:val="20"/>
                <w:highlight w:val="none"/>
                <w:vertAlign w:val="baseline"/>
                <w:lang w:val="en-US" w:eastAsia="zh-CN" w:bidi="ar-SA"/>
              </w:rPr>
            </w:pPr>
          </w:p>
        </w:tc>
        <w:tc>
          <w:tcPr>
            <w:tcW w:w="1077" w:type="dxa"/>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left="0" w:leftChars="0" w:right="0" w:rightChars="0" w:firstLine="0" w:firstLineChars="0"/>
              <w:jc w:val="center"/>
              <w:textAlignment w:val="auto"/>
              <w:outlineLvl w:val="9"/>
              <w:rPr>
                <w:rFonts w:hint="default"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自选项目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2" w:type="dxa"/>
            <w:vMerge w:val="continue"/>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仿宋_GB2312" w:hAnsi="仿宋_GB2312" w:eastAsia="仿宋_GB2312" w:cs="仿宋_GB2312"/>
                <w:b w:val="0"/>
                <w:bCs w:val="0"/>
                <w:kern w:val="2"/>
                <w:sz w:val="20"/>
                <w:szCs w:val="20"/>
                <w:highlight w:val="none"/>
                <w:vertAlign w:val="baseline"/>
                <w:lang w:val="en-US" w:eastAsia="zh-CN" w:bidi="ar-SA"/>
              </w:rPr>
            </w:pPr>
          </w:p>
        </w:tc>
        <w:tc>
          <w:tcPr>
            <w:tcW w:w="2186" w:type="dxa"/>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w:t>
            </w:r>
          </w:p>
        </w:tc>
        <w:tc>
          <w:tcPr>
            <w:tcW w:w="3160" w:type="dxa"/>
            <w:gridSpan w:val="2"/>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both"/>
              <w:textAlignment w:val="auto"/>
              <w:outlineLvl w:val="9"/>
              <w:rPr>
                <w:rFonts w:hint="eastAsia" w:ascii="仿宋_GB2312" w:hAnsi="仿宋_GB2312" w:eastAsia="仿宋_GB2312" w:cs="仿宋_GB2312"/>
                <w:b/>
                <w:bCs/>
                <w:kern w:val="2"/>
                <w:sz w:val="20"/>
                <w:szCs w:val="20"/>
                <w:highlight w:val="none"/>
                <w:vertAlign w:val="baseline"/>
                <w:lang w:val="en-US" w:eastAsia="zh-CN" w:bidi="ar-SA"/>
              </w:rPr>
            </w:pPr>
          </w:p>
        </w:tc>
        <w:tc>
          <w:tcPr>
            <w:tcW w:w="1077" w:type="dxa"/>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left="0" w:leftChars="0" w:right="0" w:rightChars="0" w:firstLine="0" w:firstLineChars="0"/>
              <w:jc w:val="center"/>
              <w:textAlignment w:val="auto"/>
              <w:outlineLvl w:val="9"/>
              <w:rPr>
                <w:rFonts w:hint="eastAsia"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自选项目</w:t>
            </w:r>
          </w:p>
        </w:tc>
      </w:tr>
    </w:tbl>
    <w:p>
      <w:pPr>
        <w:spacing w:line="400" w:lineRule="exact"/>
        <w:rPr>
          <w:rFonts w:hint="eastAsia" w:ascii="宋体" w:hAnsi="宋体" w:eastAsia="宋体" w:cs="宋体"/>
          <w:sz w:val="24"/>
          <w:szCs w:val="24"/>
          <w:lang w:val="en-US" w:eastAsia="zh-CN"/>
        </w:rPr>
      </w:pP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（六）学位论文</w:t>
      </w:r>
      <w:r>
        <w:rPr>
          <w:rFonts w:hint="eastAsia" w:ascii="宋体" w:hAnsi="宋体" w:cs="宋体"/>
          <w:sz w:val="24"/>
          <w:szCs w:val="24"/>
          <w:lang w:val="en-US" w:eastAsia="zh-CN"/>
        </w:rPr>
        <w:t>、选题</w:t>
      </w:r>
      <w:r>
        <w:rPr>
          <w:rFonts w:hint="eastAsia" w:ascii="宋体" w:hAnsi="宋体" w:eastAsia="宋体" w:cs="宋体"/>
          <w:sz w:val="24"/>
          <w:szCs w:val="24"/>
          <w:lang w:val="en-US" w:eastAsia="zh-CN"/>
        </w:rPr>
        <w:t>开题</w:t>
      </w:r>
      <w:r>
        <w:rPr>
          <w:rFonts w:hint="eastAsia" w:ascii="宋体" w:hAnsi="宋体" w:eastAsia="宋体" w:cs="宋体"/>
          <w:sz w:val="24"/>
          <w:szCs w:val="24"/>
        </w:rPr>
        <w:t>及中期考核</w:t>
      </w:r>
    </w:p>
    <w:p>
      <w:pPr>
        <w:spacing w:line="40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1.学位论文</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学位论文工作的主要目的是培养</w:t>
      </w:r>
      <w:r>
        <w:rPr>
          <w:rFonts w:hint="eastAsia" w:ascii="宋体" w:hAnsi="宋体" w:eastAsia="宋体" w:cs="宋体"/>
          <w:sz w:val="24"/>
          <w:szCs w:val="24"/>
          <w:lang w:eastAsia="zh-CN"/>
        </w:rPr>
        <w:t>专业</w:t>
      </w:r>
      <w:r>
        <w:rPr>
          <w:rFonts w:hint="eastAsia" w:ascii="宋体" w:hAnsi="宋体" w:eastAsia="宋体" w:cs="宋体"/>
          <w:sz w:val="24"/>
          <w:szCs w:val="24"/>
        </w:rPr>
        <w:t>学位硕士研究生独立思考、勇于创新的精神和从事科学研究或担负专门技术工作的能力，使研究生的综合业务素质在科学研究或工程实际训练中得到全面提高。</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专业学位硕士研究生学位论文形式可以多种多样，可采用硕士学位论文与调研报告、应用基础研究、规划设计、产品开发、案例分析、项目管理、文学艺术作品等相结合的形式。</w:t>
      </w:r>
      <w:r>
        <w:rPr>
          <w:rFonts w:hint="eastAsia" w:ascii="宋体" w:hAnsi="宋体" w:eastAsia="宋体" w:cs="宋体"/>
          <w:sz w:val="24"/>
          <w:szCs w:val="24"/>
          <w:lang w:val="en-US" w:eastAsia="zh-CN"/>
        </w:rPr>
        <w:t>具体形式及要求，由学科根据学科培养特点制定，经学校批准后施行。</w:t>
      </w:r>
      <w:r>
        <w:rPr>
          <w:rFonts w:hint="eastAsia" w:ascii="宋体" w:hAnsi="宋体" w:eastAsia="宋体" w:cs="宋体"/>
          <w:sz w:val="24"/>
          <w:szCs w:val="24"/>
        </w:rPr>
        <w:t>学位论文须独立完成，要体现研究生综合运用科学理论、方法和技术解决实际问题的能力。</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专业</w:t>
      </w:r>
      <w:r>
        <w:rPr>
          <w:rFonts w:hint="eastAsia" w:ascii="宋体" w:hAnsi="宋体" w:eastAsia="宋体" w:cs="宋体"/>
          <w:sz w:val="24"/>
          <w:szCs w:val="24"/>
        </w:rPr>
        <w:t>学位硕士研究生应在导师指导下独立完成硕士学位论文工作。</w:t>
      </w:r>
    </w:p>
    <w:p>
      <w:pPr>
        <w:spacing w:line="400" w:lineRule="exact"/>
        <w:ind w:firstLine="480" w:firstLineChars="200"/>
        <w:rPr>
          <w:rFonts w:hint="default" w:ascii="宋体" w:hAnsi="宋体" w:eastAsia="宋体" w:cs="宋体"/>
          <w:sz w:val="24"/>
          <w:szCs w:val="24"/>
          <w:lang w:val="en-US" w:eastAsia="zh-CN"/>
        </w:rPr>
      </w:pPr>
      <w:r>
        <w:rPr>
          <w:rFonts w:hint="eastAsia" w:ascii="宋体" w:hAnsi="宋体" w:cs="宋体"/>
          <w:sz w:val="24"/>
          <w:szCs w:val="24"/>
          <w:lang w:val="en-US" w:eastAsia="zh-CN"/>
        </w:rPr>
        <w:t>2.学位论文选题开题</w:t>
      </w:r>
    </w:p>
    <w:p>
      <w:pPr>
        <w:spacing w:line="40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论文</w:t>
      </w:r>
      <w:r>
        <w:rPr>
          <w:rFonts w:hint="eastAsia" w:ascii="宋体" w:hAnsi="宋体" w:cs="宋体"/>
          <w:sz w:val="24"/>
          <w:szCs w:val="24"/>
          <w:lang w:eastAsia="zh-CN"/>
        </w:rPr>
        <w:t>选题</w:t>
      </w:r>
      <w:r>
        <w:rPr>
          <w:rFonts w:hint="eastAsia" w:ascii="宋体" w:hAnsi="宋体" w:eastAsia="宋体" w:cs="宋体"/>
          <w:sz w:val="24"/>
          <w:szCs w:val="24"/>
        </w:rPr>
        <w:t>应来源于应用课题或现实问题，并具有明确的职业背景和应用价值。学位论文研究工作是专业学位硕士研究生综合运用所学基础理论和专业知识，在一定实践经验基础上，掌握对专业实际问题研究能力的重要手段。</w:t>
      </w:r>
      <w:r>
        <w:rPr>
          <w:rFonts w:hint="eastAsia" w:ascii="宋体" w:hAnsi="宋体" w:cs="宋体"/>
          <w:sz w:val="24"/>
          <w:szCs w:val="24"/>
          <w:lang w:eastAsia="zh-CN"/>
        </w:rPr>
        <w:t>选题</w:t>
      </w:r>
      <w:r>
        <w:rPr>
          <w:rFonts w:hint="eastAsia" w:ascii="宋体" w:hAnsi="宋体" w:eastAsia="宋体" w:cs="宋体"/>
          <w:sz w:val="24"/>
          <w:szCs w:val="24"/>
        </w:rPr>
        <w:t>应来源于专业实际或者具有明确的专业应用背景。学位论文研究工作一般应与专业实践相结合</w:t>
      </w:r>
      <w:r>
        <w:rPr>
          <w:rFonts w:hint="eastAsia" w:ascii="宋体" w:hAnsi="宋体" w:cs="宋体"/>
          <w:sz w:val="24"/>
          <w:szCs w:val="24"/>
          <w:lang w:eastAsia="zh-CN"/>
        </w:rPr>
        <w:t>。</w:t>
      </w:r>
    </w:p>
    <w:p>
      <w:pPr>
        <w:spacing w:line="400" w:lineRule="exact"/>
        <w:ind w:firstLine="480" w:firstLineChars="200"/>
        <w:rPr>
          <w:rFonts w:hint="eastAsia" w:ascii="宋体" w:hAnsi="宋体" w:eastAsia="宋体" w:cs="宋体"/>
          <w:sz w:val="24"/>
          <w:szCs w:val="24"/>
        </w:rPr>
      </w:pPr>
      <w:r>
        <w:rPr>
          <w:rFonts w:hint="eastAsia" w:ascii="宋体" w:hAnsi="宋体" w:cs="宋体"/>
          <w:sz w:val="24"/>
          <w:szCs w:val="24"/>
          <w:lang w:eastAsia="zh-CN"/>
        </w:rPr>
        <w:t>硕士</w:t>
      </w:r>
      <w:r>
        <w:rPr>
          <w:rFonts w:hint="eastAsia" w:ascii="宋体" w:hAnsi="宋体" w:eastAsia="宋体" w:cs="宋体"/>
          <w:sz w:val="24"/>
          <w:szCs w:val="24"/>
        </w:rPr>
        <w:t>研究生自开题通过之日起到申请学位论文答辩的时间间隔一般不得少于</w:t>
      </w:r>
      <w:r>
        <w:rPr>
          <w:rFonts w:hint="eastAsia" w:ascii="宋体" w:hAnsi="宋体" w:cs="宋体"/>
          <w:sz w:val="24"/>
          <w:szCs w:val="24"/>
          <w:lang w:val="en-US" w:eastAsia="zh-CN"/>
        </w:rPr>
        <w:t>12</w:t>
      </w:r>
      <w:r>
        <w:rPr>
          <w:rFonts w:hint="eastAsia" w:ascii="宋体" w:hAnsi="宋体" w:eastAsia="宋体" w:cs="宋体"/>
          <w:sz w:val="24"/>
          <w:szCs w:val="24"/>
        </w:rPr>
        <w:t>个月。学位论文开题一般安排在第三学期完成。在查阅文献、调查研究的基础上完成文献综述报告、开题报告</w:t>
      </w:r>
      <w:r>
        <w:rPr>
          <w:rFonts w:hint="eastAsia" w:ascii="宋体" w:hAnsi="宋体" w:cs="宋体"/>
          <w:sz w:val="24"/>
          <w:szCs w:val="24"/>
          <w:lang w:eastAsia="zh-CN"/>
        </w:rPr>
        <w:t>、</w:t>
      </w:r>
      <w:r>
        <w:rPr>
          <w:rFonts w:hint="eastAsia" w:ascii="宋体" w:hAnsi="宋体" w:eastAsia="宋体" w:cs="宋体"/>
          <w:sz w:val="24"/>
          <w:szCs w:val="24"/>
        </w:rPr>
        <w:t>开题答辩。</w:t>
      </w:r>
    </w:p>
    <w:p>
      <w:pPr>
        <w:spacing w:line="400" w:lineRule="exact"/>
        <w:ind w:firstLine="480" w:firstLineChars="200"/>
        <w:rPr>
          <w:rFonts w:hint="default" w:ascii="宋体" w:hAnsi="宋体" w:eastAsia="宋体" w:cs="宋体"/>
          <w:sz w:val="24"/>
          <w:szCs w:val="24"/>
          <w:lang w:val="en-US" w:eastAsia="zh-CN"/>
        </w:rPr>
      </w:pPr>
      <w:r>
        <w:rPr>
          <w:rFonts w:hint="eastAsia" w:ascii="宋体" w:hAnsi="宋体" w:cs="宋体"/>
          <w:sz w:val="24"/>
          <w:szCs w:val="24"/>
          <w:lang w:val="en-US" w:eastAsia="zh-CN"/>
        </w:rPr>
        <w:t>3.学位论文中期考核</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专业</w:t>
      </w:r>
      <w:r>
        <w:rPr>
          <w:rFonts w:hint="eastAsia" w:ascii="宋体" w:hAnsi="宋体" w:eastAsia="宋体" w:cs="宋体"/>
          <w:sz w:val="24"/>
          <w:szCs w:val="24"/>
        </w:rPr>
        <w:t>学位硕士研究生必须参加学校的中期考核</w:t>
      </w:r>
      <w:r>
        <w:rPr>
          <w:rFonts w:hint="eastAsia" w:ascii="宋体" w:hAnsi="宋体" w:eastAsia="宋体" w:cs="宋体"/>
          <w:sz w:val="24"/>
          <w:szCs w:val="24"/>
          <w:lang w:eastAsia="zh-CN"/>
        </w:rPr>
        <w:t>，</w:t>
      </w:r>
      <w:r>
        <w:rPr>
          <w:rFonts w:hint="eastAsia" w:ascii="宋体" w:hAnsi="宋体" w:eastAsia="宋体" w:cs="宋体"/>
          <w:sz w:val="24"/>
          <w:szCs w:val="24"/>
        </w:rPr>
        <w:t>中期考核主要考察研究生学位论文中期进展情况和课程及培养计划完成情况，一般安排在五学期</w:t>
      </w:r>
      <w:r>
        <w:rPr>
          <w:rFonts w:hint="eastAsia" w:ascii="宋体" w:hAnsi="宋体" w:eastAsia="宋体" w:cs="宋体"/>
          <w:sz w:val="24"/>
          <w:szCs w:val="24"/>
          <w:lang w:val="en-US" w:eastAsia="zh-CN"/>
        </w:rPr>
        <w:t>结束前</w:t>
      </w:r>
      <w:r>
        <w:rPr>
          <w:rFonts w:hint="eastAsia" w:ascii="宋体" w:hAnsi="宋体" w:eastAsia="宋体" w:cs="宋体"/>
          <w:sz w:val="24"/>
          <w:szCs w:val="24"/>
        </w:rPr>
        <w:t>完成。</w:t>
      </w:r>
    </w:p>
    <w:p>
      <w:pPr>
        <w:spacing w:line="4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专业</w:t>
      </w:r>
      <w:r>
        <w:rPr>
          <w:rFonts w:hint="eastAsia" w:ascii="宋体" w:hAnsi="宋体" w:eastAsia="宋体" w:cs="宋体"/>
          <w:sz w:val="24"/>
          <w:szCs w:val="24"/>
        </w:rPr>
        <w:t>学位硕士研究生</w:t>
      </w:r>
      <w:r>
        <w:rPr>
          <w:rFonts w:hint="eastAsia" w:ascii="宋体" w:hAnsi="宋体" w:eastAsia="宋体" w:cs="宋体"/>
          <w:sz w:val="24"/>
          <w:szCs w:val="24"/>
          <w:lang w:val="en-US" w:eastAsia="zh-CN"/>
        </w:rPr>
        <w:t>开题</w:t>
      </w:r>
      <w:r>
        <w:rPr>
          <w:rFonts w:hint="eastAsia" w:ascii="宋体" w:hAnsi="宋体" w:eastAsia="宋体" w:cs="宋体"/>
          <w:sz w:val="24"/>
          <w:szCs w:val="24"/>
        </w:rPr>
        <w:t>和中期考核的具体要求，按照学校研究生开题及中期考核管理有关规定要求执行。</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七</w:t>
      </w:r>
      <w:r>
        <w:rPr>
          <w:rFonts w:hint="eastAsia" w:ascii="宋体" w:hAnsi="宋体" w:eastAsia="宋体" w:cs="宋体"/>
          <w:sz w:val="24"/>
          <w:szCs w:val="24"/>
        </w:rPr>
        <w:t>）毕业与学位授予要求</w:t>
      </w:r>
    </w:p>
    <w:p>
      <w:pPr>
        <w:spacing w:line="40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毕业与学位授予要求按《江汉大学研究生管理规定》《江汉大学学位授予工作实施细则》等相关规定执行</w:t>
      </w:r>
      <w:r>
        <w:rPr>
          <w:rFonts w:hint="eastAsia" w:ascii="宋体" w:hAnsi="宋体" w:eastAsia="宋体" w:cs="宋体"/>
          <w:sz w:val="24"/>
          <w:szCs w:val="24"/>
          <w:lang w:eastAsia="zh-CN"/>
        </w:rPr>
        <w:t>。</w:t>
      </w:r>
    </w:p>
    <w:p>
      <w:pPr>
        <w:spacing w:line="4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1.专业实践成果认定</w:t>
      </w:r>
    </w:p>
    <w:p>
      <w:pPr>
        <w:spacing w:line="4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各</w:t>
      </w:r>
      <w:r>
        <w:rPr>
          <w:rFonts w:hint="eastAsia" w:ascii="宋体" w:hAnsi="宋体" w:eastAsia="宋体" w:cs="宋体"/>
          <w:sz w:val="24"/>
          <w:szCs w:val="24"/>
          <w:lang w:val="en-US" w:eastAsia="zh-CN"/>
        </w:rPr>
        <w:t>学院、</w:t>
      </w:r>
      <w:r>
        <w:rPr>
          <w:rFonts w:hint="eastAsia" w:ascii="宋体" w:hAnsi="宋体" w:eastAsia="宋体" w:cs="宋体"/>
          <w:sz w:val="24"/>
          <w:szCs w:val="24"/>
        </w:rPr>
        <w:t>学科可根据</w:t>
      </w:r>
      <w:r>
        <w:rPr>
          <w:rFonts w:hint="eastAsia" w:ascii="宋体" w:hAnsi="宋体" w:eastAsia="宋体" w:cs="宋体"/>
          <w:sz w:val="24"/>
          <w:szCs w:val="24"/>
          <w:lang w:val="en-US" w:eastAsia="zh-CN"/>
        </w:rPr>
        <w:t>本学院、</w:t>
      </w:r>
      <w:r>
        <w:rPr>
          <w:rFonts w:hint="eastAsia" w:ascii="宋体" w:hAnsi="宋体" w:eastAsia="宋体" w:cs="宋体"/>
          <w:sz w:val="24"/>
          <w:szCs w:val="24"/>
        </w:rPr>
        <w:t>学科</w:t>
      </w:r>
      <w:r>
        <w:rPr>
          <w:rFonts w:hint="eastAsia" w:ascii="宋体" w:hAnsi="宋体" w:eastAsia="宋体" w:cs="宋体"/>
          <w:sz w:val="24"/>
          <w:szCs w:val="24"/>
          <w:lang w:val="en-US" w:eastAsia="zh-CN"/>
        </w:rPr>
        <w:t>培养</w:t>
      </w:r>
      <w:r>
        <w:rPr>
          <w:rFonts w:hint="eastAsia" w:ascii="宋体" w:hAnsi="宋体" w:eastAsia="宋体" w:cs="宋体"/>
          <w:sz w:val="24"/>
          <w:szCs w:val="24"/>
        </w:rPr>
        <w:t>特点</w:t>
      </w:r>
      <w:r>
        <w:rPr>
          <w:rFonts w:hint="eastAsia" w:ascii="宋体" w:hAnsi="宋体" w:eastAsia="宋体" w:cs="宋体"/>
          <w:sz w:val="24"/>
          <w:szCs w:val="24"/>
          <w:lang w:eastAsia="zh-CN"/>
        </w:rPr>
        <w:t>，</w:t>
      </w:r>
      <w:r>
        <w:rPr>
          <w:rFonts w:hint="eastAsia" w:ascii="宋体" w:hAnsi="宋体" w:eastAsia="宋体" w:cs="宋体"/>
          <w:sz w:val="24"/>
          <w:szCs w:val="24"/>
        </w:rPr>
        <w:t>在学校毕业与学位授予</w:t>
      </w:r>
      <w:r>
        <w:rPr>
          <w:rFonts w:hint="eastAsia" w:ascii="宋体" w:hAnsi="宋体" w:eastAsia="宋体" w:cs="宋体"/>
          <w:sz w:val="24"/>
          <w:szCs w:val="24"/>
          <w:lang w:val="en-US" w:eastAsia="zh-CN"/>
        </w:rPr>
        <w:t>标准</w:t>
      </w:r>
      <w:r>
        <w:rPr>
          <w:rFonts w:hint="eastAsia" w:ascii="宋体" w:hAnsi="宋体" w:eastAsia="宋体" w:cs="宋体"/>
          <w:sz w:val="24"/>
          <w:szCs w:val="24"/>
        </w:rPr>
        <w:t>的基础上，</w:t>
      </w:r>
      <w:r>
        <w:rPr>
          <w:rFonts w:hint="eastAsia" w:ascii="宋体" w:hAnsi="宋体" w:eastAsia="宋体" w:cs="宋体"/>
          <w:sz w:val="24"/>
          <w:szCs w:val="24"/>
          <w:lang w:val="en-US" w:eastAsia="zh-CN"/>
        </w:rPr>
        <w:t>制定本学院学科研究生在学期间申请毕业或学位</w:t>
      </w:r>
      <w:r>
        <w:rPr>
          <w:rFonts w:hint="eastAsia" w:ascii="宋体" w:hAnsi="宋体" w:eastAsia="宋体" w:cs="宋体"/>
          <w:sz w:val="24"/>
          <w:szCs w:val="24"/>
          <w:lang w:eastAsia="zh-CN"/>
        </w:rPr>
        <w:t>，</w:t>
      </w:r>
      <w:r>
        <w:rPr>
          <w:rFonts w:hint="eastAsia" w:ascii="宋体" w:hAnsi="宋体" w:eastAsia="宋体" w:cs="宋体"/>
          <w:sz w:val="24"/>
          <w:szCs w:val="24"/>
        </w:rPr>
        <w:t>应取得学术成果的具体标准</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并</w:t>
      </w:r>
      <w:r>
        <w:rPr>
          <w:rFonts w:hint="eastAsia" w:ascii="宋体" w:hAnsi="宋体" w:eastAsia="宋体" w:cs="宋体"/>
          <w:sz w:val="24"/>
          <w:szCs w:val="24"/>
        </w:rPr>
        <w:t>在培养方案中予以明确。</w:t>
      </w:r>
      <w:r>
        <w:rPr>
          <w:rFonts w:hint="eastAsia" w:ascii="宋体" w:hAnsi="宋体" w:eastAsia="宋体" w:cs="宋体"/>
          <w:sz w:val="24"/>
          <w:szCs w:val="24"/>
          <w:lang w:val="en-US" w:eastAsia="zh-CN"/>
        </w:rPr>
        <w:t>学术成果应在第五学期结束前取得。无毕业或申请学位应取得最低学术成果要求的学院或学科，此条可删除。</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专业学位硕士研究生在学期间，</w:t>
      </w:r>
      <w:r>
        <w:rPr>
          <w:rFonts w:hint="eastAsia" w:ascii="宋体" w:hAnsi="宋体" w:eastAsia="宋体" w:cs="宋体"/>
          <w:sz w:val="24"/>
          <w:szCs w:val="24"/>
          <w:lang w:val="en-US" w:eastAsia="zh-CN"/>
        </w:rPr>
        <w:t>取得的学术成果可包括</w:t>
      </w:r>
      <w:r>
        <w:rPr>
          <w:rFonts w:hint="eastAsia" w:ascii="宋体" w:hAnsi="宋体" w:eastAsia="宋体" w:cs="宋体"/>
          <w:sz w:val="24"/>
          <w:szCs w:val="24"/>
        </w:rPr>
        <w:t>其在专业学术期刊上公开发表论文或取得工程应用成果。</w:t>
      </w:r>
      <w:r>
        <w:rPr>
          <w:rFonts w:hint="eastAsia" w:ascii="宋体" w:hAnsi="宋体" w:eastAsia="宋体" w:cs="宋体"/>
          <w:sz w:val="24"/>
          <w:szCs w:val="24"/>
          <w:lang w:val="en-US" w:eastAsia="zh-CN"/>
        </w:rPr>
        <w:t>其中，</w:t>
      </w:r>
      <w:r>
        <w:rPr>
          <w:rFonts w:hint="eastAsia" w:ascii="宋体" w:hAnsi="宋体" w:eastAsia="宋体" w:cs="宋体"/>
          <w:sz w:val="24"/>
          <w:szCs w:val="24"/>
        </w:rPr>
        <w:t>对于工程应用成果，评价重点是对解决生产实践中关键技术问题的实际贡献，以及带来的新技术、新产品、新工艺实现产业化应用的实际效果。</w:t>
      </w:r>
    </w:p>
    <w:p>
      <w:pPr>
        <w:spacing w:line="4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2.毕业考核、毕业展示（展演）、毕业答辩、学位论文答辩以及其他毕业与学位授予的具体标准与要求</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各</w:t>
      </w:r>
      <w:r>
        <w:rPr>
          <w:rFonts w:hint="eastAsia" w:ascii="宋体" w:hAnsi="宋体" w:eastAsia="宋体" w:cs="宋体"/>
          <w:sz w:val="24"/>
          <w:szCs w:val="24"/>
          <w:lang w:val="en-US" w:eastAsia="zh-CN"/>
        </w:rPr>
        <w:t>学院、</w:t>
      </w:r>
      <w:r>
        <w:rPr>
          <w:rFonts w:hint="eastAsia" w:ascii="宋体" w:hAnsi="宋体" w:eastAsia="宋体" w:cs="宋体"/>
          <w:sz w:val="24"/>
          <w:szCs w:val="24"/>
        </w:rPr>
        <w:t>学科</w:t>
      </w:r>
      <w:r>
        <w:rPr>
          <w:rFonts w:hint="eastAsia" w:ascii="宋体" w:hAnsi="宋体" w:eastAsia="宋体" w:cs="宋体"/>
          <w:sz w:val="24"/>
          <w:szCs w:val="24"/>
          <w:lang w:val="en-US" w:eastAsia="zh-CN"/>
        </w:rPr>
        <w:t>必须</w:t>
      </w:r>
      <w:r>
        <w:rPr>
          <w:rFonts w:hint="eastAsia" w:ascii="宋体" w:hAnsi="宋体" w:eastAsia="宋体" w:cs="宋体"/>
          <w:sz w:val="24"/>
          <w:szCs w:val="24"/>
        </w:rPr>
        <w:t>根据</w:t>
      </w:r>
      <w:r>
        <w:rPr>
          <w:rFonts w:hint="eastAsia" w:ascii="宋体" w:hAnsi="宋体" w:eastAsia="宋体" w:cs="宋体"/>
          <w:sz w:val="24"/>
          <w:szCs w:val="24"/>
          <w:lang w:val="en-US" w:eastAsia="zh-CN"/>
        </w:rPr>
        <w:t>本学院、</w:t>
      </w:r>
      <w:r>
        <w:rPr>
          <w:rFonts w:hint="eastAsia" w:ascii="宋体" w:hAnsi="宋体" w:eastAsia="宋体" w:cs="宋体"/>
          <w:sz w:val="24"/>
          <w:szCs w:val="24"/>
        </w:rPr>
        <w:t>学科</w:t>
      </w:r>
      <w:r>
        <w:rPr>
          <w:rFonts w:hint="eastAsia" w:ascii="宋体" w:hAnsi="宋体" w:eastAsia="宋体" w:cs="宋体"/>
          <w:sz w:val="24"/>
          <w:szCs w:val="24"/>
          <w:lang w:val="en-US" w:eastAsia="zh-CN"/>
        </w:rPr>
        <w:t>培养</w:t>
      </w:r>
      <w:r>
        <w:rPr>
          <w:rFonts w:hint="eastAsia" w:ascii="宋体" w:hAnsi="宋体" w:eastAsia="宋体" w:cs="宋体"/>
          <w:sz w:val="24"/>
          <w:szCs w:val="24"/>
        </w:rPr>
        <w:t>特点</w:t>
      </w:r>
      <w:r>
        <w:rPr>
          <w:rFonts w:hint="eastAsia" w:ascii="宋体" w:hAnsi="宋体" w:eastAsia="宋体" w:cs="宋体"/>
          <w:sz w:val="24"/>
          <w:szCs w:val="24"/>
          <w:lang w:eastAsia="zh-CN"/>
        </w:rPr>
        <w:t>，</w:t>
      </w:r>
      <w:r>
        <w:rPr>
          <w:rFonts w:hint="eastAsia" w:ascii="宋体" w:hAnsi="宋体" w:eastAsia="宋体" w:cs="宋体"/>
          <w:sz w:val="24"/>
          <w:szCs w:val="24"/>
        </w:rPr>
        <w:t>在学校毕业与学位授予</w:t>
      </w:r>
      <w:r>
        <w:rPr>
          <w:rFonts w:hint="eastAsia" w:ascii="宋体" w:hAnsi="宋体" w:eastAsia="宋体" w:cs="宋体"/>
          <w:sz w:val="24"/>
          <w:szCs w:val="24"/>
          <w:lang w:val="en-US" w:eastAsia="zh-CN"/>
        </w:rPr>
        <w:t>标准</w:t>
      </w:r>
      <w:r>
        <w:rPr>
          <w:rFonts w:hint="eastAsia" w:ascii="宋体" w:hAnsi="宋体" w:eastAsia="宋体" w:cs="宋体"/>
          <w:sz w:val="24"/>
          <w:szCs w:val="24"/>
        </w:rPr>
        <w:t>的基础上，</w:t>
      </w:r>
      <w:r>
        <w:rPr>
          <w:rFonts w:hint="eastAsia" w:ascii="宋体" w:hAnsi="宋体" w:eastAsia="宋体" w:cs="宋体"/>
          <w:sz w:val="24"/>
          <w:szCs w:val="24"/>
          <w:lang w:val="en-US" w:eastAsia="zh-CN"/>
        </w:rPr>
        <w:t>制定本学院学科研究生在学期间申请毕业或学位</w:t>
      </w:r>
      <w:r>
        <w:rPr>
          <w:rFonts w:hint="eastAsia" w:ascii="宋体" w:hAnsi="宋体" w:eastAsia="宋体" w:cs="宋体"/>
          <w:sz w:val="24"/>
          <w:szCs w:val="24"/>
          <w:lang w:eastAsia="zh-CN"/>
        </w:rPr>
        <w:t>，</w:t>
      </w:r>
      <w:r>
        <w:rPr>
          <w:rFonts w:hint="eastAsia" w:ascii="宋体" w:hAnsi="宋体" w:eastAsia="宋体" w:cs="宋体"/>
          <w:sz w:val="24"/>
          <w:szCs w:val="24"/>
        </w:rPr>
        <w:t>应</w:t>
      </w:r>
      <w:r>
        <w:rPr>
          <w:rFonts w:hint="eastAsia" w:ascii="宋体" w:hAnsi="宋体" w:eastAsia="宋体" w:cs="宋体"/>
          <w:sz w:val="24"/>
          <w:szCs w:val="24"/>
          <w:lang w:val="en-US" w:eastAsia="zh-CN"/>
        </w:rPr>
        <w:t>完成的毕业考核、毕业展示（展演）、毕业答辩、学位论文答辩以及其他毕业与学位授予的具体标准与要求</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并</w:t>
      </w:r>
      <w:r>
        <w:rPr>
          <w:rFonts w:hint="eastAsia" w:ascii="宋体" w:hAnsi="宋体" w:eastAsia="宋体" w:cs="宋体"/>
          <w:sz w:val="24"/>
          <w:szCs w:val="24"/>
        </w:rPr>
        <w:t>在培养方案中予以明确。</w:t>
      </w:r>
    </w:p>
    <w:p>
      <w:pPr>
        <w:spacing w:line="4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3.论文内容与知识产权</w:t>
      </w:r>
    </w:p>
    <w:p>
      <w:pPr>
        <w:spacing w:line="4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研究生从事学位论文或毕业作品的工作内容、所取得成果的知识产权属江汉大学。与外单位联合培养研究生或联合开展学位论文的，根据合作协议规定知识产权归属。</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rPr>
        <w:t>八</w:t>
      </w:r>
      <w:r>
        <w:rPr>
          <w:rFonts w:hint="eastAsia" w:ascii="宋体" w:hAnsi="宋体" w:eastAsia="宋体" w:cs="宋体"/>
          <w:sz w:val="24"/>
          <w:szCs w:val="24"/>
        </w:rPr>
        <w:t>）培养方式与方法</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公共</w:t>
      </w:r>
      <w:r>
        <w:rPr>
          <w:rFonts w:hint="eastAsia" w:ascii="宋体" w:hAnsi="宋体" w:cs="宋体"/>
          <w:sz w:val="24"/>
          <w:szCs w:val="24"/>
          <w:lang w:val="en-US" w:eastAsia="zh-CN"/>
        </w:rPr>
        <w:t>必修</w:t>
      </w:r>
      <w:r>
        <w:rPr>
          <w:rFonts w:hint="eastAsia" w:ascii="宋体" w:hAnsi="宋体" w:eastAsia="宋体" w:cs="宋体"/>
          <w:sz w:val="24"/>
          <w:szCs w:val="24"/>
        </w:rPr>
        <w:t>课和专业</w:t>
      </w:r>
      <w:r>
        <w:rPr>
          <w:rFonts w:hint="eastAsia" w:ascii="宋体" w:hAnsi="宋体" w:cs="宋体"/>
          <w:sz w:val="24"/>
          <w:szCs w:val="24"/>
          <w:lang w:val="en-US" w:eastAsia="zh-CN"/>
        </w:rPr>
        <w:t>必修</w:t>
      </w:r>
      <w:r>
        <w:rPr>
          <w:rFonts w:hint="eastAsia" w:ascii="宋体" w:hAnsi="宋体" w:eastAsia="宋体" w:cs="宋体"/>
          <w:sz w:val="24"/>
          <w:szCs w:val="24"/>
        </w:rPr>
        <w:t>课一般在入学后2学期内在校内完成；其它课程和实践环节可在入学后2-4学期内在研究院（所）、工程中心和校外联合培养基地完成。</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专业学位硕士研究生采用校内外双导师制，以校内导师指导为主，校外</w:t>
      </w:r>
      <w:r>
        <w:rPr>
          <w:rFonts w:hint="eastAsia" w:ascii="宋体" w:hAnsi="宋体" w:eastAsia="宋体" w:cs="宋体"/>
          <w:sz w:val="24"/>
          <w:szCs w:val="24"/>
          <w:lang w:val="en-US" w:eastAsia="zh-CN"/>
        </w:rPr>
        <w:t>行（企）业</w:t>
      </w:r>
      <w:r>
        <w:rPr>
          <w:rFonts w:hint="eastAsia" w:ascii="宋体" w:hAnsi="宋体" w:eastAsia="宋体" w:cs="宋体"/>
          <w:sz w:val="24"/>
          <w:szCs w:val="24"/>
        </w:rPr>
        <w:t>导师参与实践过程、项目研究、课程与论文等多个环节的指导工作。各专业领域应吸收本领域的专家、学者和工程技术人员组成团队，实现团队指导和培养，共同承担专业学位硕士研究生的培养工作。</w:t>
      </w:r>
    </w:p>
    <w:p>
      <w:pPr>
        <w:keepNext/>
        <w:keepLines/>
        <w:spacing w:before="156" w:beforeLines="50" w:after="156" w:afterLines="50"/>
        <w:outlineLvl w:val="2"/>
        <w:rPr>
          <w:rFonts w:hint="eastAsia" w:ascii="宋体" w:hAnsi="宋体" w:eastAsia="宋体" w:cs="宋体"/>
          <w:b/>
          <w:bCs/>
          <w:kern w:val="0"/>
          <w:sz w:val="24"/>
          <w:szCs w:val="24"/>
        </w:rPr>
      </w:pPr>
      <w:bookmarkStart w:id="11" w:name="_Toc455392295"/>
      <w:bookmarkStart w:id="12" w:name="_Toc456781513"/>
      <w:bookmarkStart w:id="13" w:name="_Toc455393212"/>
      <w:bookmarkStart w:id="14" w:name="_Toc455392556"/>
      <w:r>
        <w:rPr>
          <w:rFonts w:hint="eastAsia" w:ascii="宋体" w:hAnsi="宋体" w:cs="宋体"/>
          <w:b/>
          <w:bCs/>
          <w:kern w:val="0"/>
          <w:sz w:val="24"/>
          <w:szCs w:val="24"/>
          <w:lang w:val="en-US" w:eastAsia="zh-CN"/>
        </w:rPr>
        <w:t>三</w:t>
      </w:r>
      <w:r>
        <w:rPr>
          <w:rFonts w:hint="eastAsia" w:ascii="宋体" w:hAnsi="宋体" w:eastAsia="宋体" w:cs="宋体"/>
          <w:b/>
          <w:bCs/>
          <w:kern w:val="0"/>
          <w:sz w:val="24"/>
          <w:szCs w:val="24"/>
        </w:rPr>
        <w:t>、其他</w:t>
      </w:r>
      <w:bookmarkEnd w:id="11"/>
      <w:bookmarkEnd w:id="12"/>
      <w:bookmarkEnd w:id="13"/>
      <w:bookmarkEnd w:id="14"/>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（一）为检查教学效果，确保培养质量，凡是培养方案规定的学习项目，均必须对专业学位硕士研究生进行考核。考核方式、成绩评定的办法须在课程教学大纲内明确。</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（二）本次制订培养方案的范围包括目前学校批准设立的所有专业学位硕士类别。专业、层次相同的全日制、非全日制研究生适用同一培养方案。</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（三）专业学位硕士研究生开题前须修满学位课程的学分，允许研究生开题后根据论文研究需要选修部分其他课程，申请答辩前修须完全部课程。</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eastAsia="zh-CN"/>
        </w:rPr>
        <w:t>四</w:t>
      </w:r>
      <w:r>
        <w:rPr>
          <w:rFonts w:hint="eastAsia" w:ascii="宋体" w:hAnsi="宋体" w:eastAsia="宋体" w:cs="宋体"/>
          <w:sz w:val="24"/>
          <w:szCs w:val="24"/>
        </w:rPr>
        <w:t>）专业学位硕士研究生在课程学习阶段每月至少1次、论文工作阶段每月至少2次向指导教师汇报自己的学习和研究工作情况，形成制度并在培养方案中予以明确。</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五</w:t>
      </w:r>
      <w:r>
        <w:rPr>
          <w:rFonts w:hint="eastAsia" w:ascii="宋体" w:hAnsi="宋体" w:eastAsia="宋体" w:cs="宋体"/>
          <w:sz w:val="24"/>
          <w:szCs w:val="24"/>
        </w:rPr>
        <w:t>）各培养单位应参照以上培养方案指导意见制订来华留学生的英文培养方案。</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六</w:t>
      </w:r>
      <w:r>
        <w:rPr>
          <w:rFonts w:hint="eastAsia" w:ascii="宋体" w:hAnsi="宋体" w:eastAsia="宋体" w:cs="宋体"/>
          <w:sz w:val="24"/>
          <w:szCs w:val="24"/>
        </w:rPr>
        <w:t>）本次制订培养方案从202</w:t>
      </w:r>
      <w:r>
        <w:rPr>
          <w:rFonts w:hint="eastAsia" w:ascii="宋体" w:hAnsi="宋体" w:eastAsia="宋体" w:cs="宋体"/>
          <w:sz w:val="24"/>
          <w:szCs w:val="24"/>
          <w:lang w:val="en-US" w:eastAsia="zh-CN"/>
        </w:rPr>
        <w:t>5</w:t>
      </w:r>
      <w:r>
        <w:rPr>
          <w:rFonts w:hint="eastAsia" w:ascii="宋体" w:hAnsi="宋体" w:eastAsia="宋体" w:cs="宋体"/>
          <w:sz w:val="24"/>
          <w:szCs w:val="24"/>
        </w:rPr>
        <w:t>级专业学位硕士研究生开始执行。</w:t>
      </w:r>
    </w:p>
    <w:p>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4A0650"/>
    <w:rsid w:val="1ED9630A"/>
    <w:rsid w:val="589750FF"/>
    <w:rsid w:val="664B63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5">
    <w:name w:val="Default Paragraph Font"/>
    <w:qFormat/>
    <w:uiPriority w:val="0"/>
  </w:style>
  <w:style w:type="table" w:default="1" w:styleId="3">
    <w:name w:val="Normal Table"/>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table" w:styleId="4">
    <w:name w:val="Table Grid"/>
    <w:basedOn w:val="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5666</Words>
  <Characters>5691</Characters>
  <Lines>0</Lines>
  <Paragraphs>88</Paragraphs>
  <TotalTime>2</TotalTime>
  <ScaleCrop>false</ScaleCrop>
  <LinksUpToDate>false</LinksUpToDate>
  <CharactersWithSpaces>5770</CharactersWithSpaces>
  <Application>WPS Office_11.8.6.11719_F1E327BC-269C-435d-A152-05C5408002CA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2025-01-07T15:37:00Z</dcterms:created>
  <dc:creator>lenovo</dc:creator>
  <cp:lastModifiedBy>lenovo</cp:lastModifiedBy>
  <cp:lastPrinted>2025-01-14T08:35:00Z</cp:lastPrinted>
  <dcterms:modified xsi:type="dcterms:W3CDTF">2025-03-25T00:52:07Z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2052-11.8.6.11719</vt:lpwstr>
  </property>
  <property fmtid="{D5CDD505-2E9C-101B-9397-08002B2CF9AE}" pid="3" name="ICV">
    <vt:lpwstr>F4CBADA9C5CA483885820CDC07545671_13</vt:lpwstr>
  </property>
  <property fmtid="{D5CDD505-2E9C-101B-9397-08002B2CF9AE}" pid="4" name="KSOTemplateDocerSaveRecord">
    <vt:lpwstr>eyJoZGlkIjoiMGQ2Mjg1YThlNmRiM2JhZTQ1MTZiN2IwOTZjM2JkYWIiLCJ1c2VySWQiOiIyODY3MTI0NjQifQ==</vt:lpwstr>
  </property>
</Properties>
</file>