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7D60E" w14:textId="7C74D33F" w:rsidR="00616E23" w:rsidRDefault="00000000">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江汉大学艺术硕士</w:t>
      </w:r>
      <w:r w:rsidR="00122402">
        <w:rPr>
          <w:rFonts w:ascii="方正小标宋简体" w:eastAsia="方正小标宋简体" w:hAnsi="方正小标宋简体" w:cs="方正小标宋简体" w:hint="eastAsia"/>
          <w:sz w:val="44"/>
          <w:szCs w:val="44"/>
        </w:rPr>
        <w:t>（艺术设计）</w:t>
      </w:r>
      <w:r>
        <w:rPr>
          <w:rFonts w:ascii="方正小标宋简体" w:eastAsia="方正小标宋简体" w:hAnsi="方正小标宋简体" w:cs="方正小标宋简体" w:hint="eastAsia"/>
          <w:sz w:val="44"/>
          <w:szCs w:val="44"/>
        </w:rPr>
        <w:t>学位点</w:t>
      </w:r>
      <w:r>
        <w:rPr>
          <w:rFonts w:ascii="方正小标宋简体" w:eastAsia="方正小标宋简体" w:hAnsi="方正小标宋简体" w:cs="方正小标宋简体" w:hint="eastAsia"/>
          <w:sz w:val="44"/>
          <w:szCs w:val="44"/>
        </w:rPr>
        <w:br/>
        <w:t>周期性合格评估早期诊断自评年度整改告</w:t>
      </w:r>
    </w:p>
    <w:p w14:paraId="7B1BCF58" w14:textId="77777777" w:rsidR="00616E23" w:rsidRDefault="00616E23">
      <w:pPr>
        <w:spacing w:line="700" w:lineRule="exact"/>
        <w:jc w:val="center"/>
        <w:rPr>
          <w:rFonts w:ascii="方正小标宋简体" w:eastAsia="方正小标宋简体" w:hAnsi="方正小标宋简体" w:cs="方正小标宋简体"/>
          <w:sz w:val="44"/>
          <w:szCs w:val="44"/>
        </w:rPr>
      </w:pPr>
    </w:p>
    <w:p w14:paraId="74EE5143" w14:textId="77777777" w:rsidR="00616E23" w:rsidRDefault="00000000">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一、专家意见分析</w:t>
      </w:r>
    </w:p>
    <w:p w14:paraId="75B05F90" w14:textId="77777777" w:rsidR="00616E2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专家意见</w:t>
      </w:r>
      <w:proofErr w:type="gramStart"/>
      <w:r>
        <w:rPr>
          <w:rFonts w:ascii="仿宋_GB2312" w:eastAsia="仿宋_GB2312" w:hAnsi="仿宋_GB2312" w:cs="仿宋_GB2312" w:hint="eastAsia"/>
          <w:b/>
          <w:bCs/>
          <w:sz w:val="32"/>
          <w:szCs w:val="32"/>
        </w:rPr>
        <w:t>一</w:t>
      </w:r>
      <w:proofErr w:type="gramEnd"/>
      <w:r>
        <w:rPr>
          <w:rFonts w:ascii="仿宋_GB2312" w:eastAsia="仿宋_GB2312" w:hAnsi="仿宋_GB2312" w:cs="仿宋_GB2312" w:hint="eastAsia"/>
          <w:b/>
          <w:bCs/>
          <w:sz w:val="32"/>
          <w:szCs w:val="32"/>
        </w:rPr>
        <w:t>：不断提升各类科研平台与基地的层次，争取建立省级研究生工作站。</w:t>
      </w:r>
      <w:r>
        <w:rPr>
          <w:rFonts w:ascii="仿宋_GB2312" w:eastAsia="仿宋_GB2312" w:hAnsi="仿宋_GB2312" w:cs="仿宋_GB2312" w:hint="eastAsia"/>
          <w:sz w:val="32"/>
          <w:szCs w:val="32"/>
        </w:rPr>
        <w:t>设计学院现有科研平台建设及研究生工作站建设较为薄弱。需在现有实习实践基地建设基础上积极培育校级研究生工作站，</w:t>
      </w:r>
      <w:proofErr w:type="gramStart"/>
      <w:r>
        <w:rPr>
          <w:rFonts w:ascii="仿宋_GB2312" w:eastAsia="仿宋_GB2312" w:hAnsi="仿宋_GB2312" w:cs="仿宋_GB2312" w:hint="eastAsia"/>
          <w:sz w:val="32"/>
          <w:szCs w:val="32"/>
        </w:rPr>
        <w:t>拟经过</w:t>
      </w:r>
      <w:proofErr w:type="gramEnd"/>
      <w:r>
        <w:rPr>
          <w:rFonts w:ascii="仿宋_GB2312" w:eastAsia="仿宋_GB2312" w:hAnsi="仿宋_GB2312" w:cs="仿宋_GB2312" w:hint="eastAsia"/>
          <w:sz w:val="32"/>
          <w:szCs w:val="32"/>
        </w:rPr>
        <w:t>两年建设达到省级研究生工作站申报条件。</w:t>
      </w:r>
    </w:p>
    <w:p w14:paraId="0A4F0AA1" w14:textId="77777777" w:rsidR="00616E2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专家意见二：提升研究生在各类学术交流中的参与度。</w:t>
      </w:r>
      <w:r>
        <w:rPr>
          <w:rFonts w:ascii="仿宋_GB2312" w:eastAsia="仿宋_GB2312" w:hAnsi="仿宋_GB2312" w:cs="仿宋_GB2312" w:hint="eastAsia"/>
          <w:sz w:val="32"/>
          <w:szCs w:val="32"/>
        </w:rPr>
        <w:t>近三年，由于疫情防控，研究生外出参加各类学术交流活动明显减少，仅在设计学院每年的</w:t>
      </w:r>
      <w:proofErr w:type="gramStart"/>
      <w:r>
        <w:rPr>
          <w:rFonts w:ascii="仿宋_GB2312" w:eastAsia="仿宋_GB2312" w:hAnsi="仿宋_GB2312" w:cs="仿宋_GB2312" w:hint="eastAsia"/>
          <w:sz w:val="32"/>
          <w:szCs w:val="32"/>
        </w:rPr>
        <w:t>学术周</w:t>
      </w:r>
      <w:proofErr w:type="gramEnd"/>
      <w:r>
        <w:rPr>
          <w:rFonts w:ascii="仿宋_GB2312" w:eastAsia="仿宋_GB2312" w:hAnsi="仿宋_GB2312" w:cs="仿宋_GB2312" w:hint="eastAsia"/>
          <w:sz w:val="32"/>
          <w:szCs w:val="32"/>
        </w:rPr>
        <w:t>活动中做到了全员参与。校外高水平学术线上线下交流活动参与度较低，但学术交流活动在研究生培养有着至关重要的作用，需克服困难为研究生提供更多的学术交流机会。</w:t>
      </w:r>
    </w:p>
    <w:p w14:paraId="15578AF2" w14:textId="77777777" w:rsidR="00616E2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专家意见三：利用综合性院校多学科优势，开展跨学科合作。</w:t>
      </w:r>
      <w:r>
        <w:rPr>
          <w:rFonts w:ascii="仿宋_GB2312" w:eastAsia="仿宋_GB2312" w:hAnsi="仿宋_GB2312" w:cs="仿宋_GB2312" w:hint="eastAsia"/>
          <w:sz w:val="32"/>
          <w:szCs w:val="32"/>
        </w:rPr>
        <w:t>结合江汉大学高水平城市大学建设中主要面向武汉市产业发展战略，艺术设计研究生主要培养复合型高层次人才，跨学科合作将在跨学科人才培养将发挥越来越重要的作用。2020年起设计学院设立整合创新设计方向，旨在探索跨专业复合型人才培养。跨学院跨学科合作开展及机制探索将是下一步工作的重点。</w:t>
      </w:r>
    </w:p>
    <w:p w14:paraId="5A7A3231" w14:textId="77777777" w:rsidR="00616E23" w:rsidRDefault="00000000">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二、整改目标</w:t>
      </w:r>
    </w:p>
    <w:p w14:paraId="1CE45832" w14:textId="77777777" w:rsidR="00616E23" w:rsidRDefault="00000000">
      <w:pPr>
        <w:spacing w:line="560" w:lineRule="exact"/>
        <w:ind w:firstLineChars="200" w:firstLine="643"/>
        <w:rPr>
          <w:rFonts w:ascii="楷体" w:eastAsia="楷体" w:hAnsi="楷体" w:cs="楷体"/>
          <w:b/>
          <w:bCs/>
          <w:sz w:val="32"/>
          <w:szCs w:val="32"/>
        </w:rPr>
      </w:pPr>
      <w:r>
        <w:rPr>
          <w:rFonts w:ascii="楷体_GB2312" w:eastAsia="楷体_GB2312" w:hAnsi="楷体_GB2312" w:cs="楷体_GB2312" w:hint="eastAsia"/>
          <w:b/>
          <w:bCs/>
          <w:color w:val="000000"/>
          <w:sz w:val="32"/>
          <w:szCs w:val="32"/>
        </w:rPr>
        <w:t>(</w:t>
      </w:r>
      <w:proofErr w:type="gramStart"/>
      <w:r>
        <w:rPr>
          <w:rFonts w:ascii="楷体_GB2312" w:eastAsia="楷体_GB2312" w:hAnsi="楷体_GB2312" w:cs="楷体_GB2312" w:hint="eastAsia"/>
          <w:b/>
          <w:bCs/>
          <w:color w:val="000000"/>
          <w:sz w:val="32"/>
          <w:szCs w:val="32"/>
        </w:rPr>
        <w:t>一</w:t>
      </w:r>
      <w:proofErr w:type="gramEnd"/>
      <w:r>
        <w:rPr>
          <w:rFonts w:ascii="楷体_GB2312" w:eastAsia="楷体_GB2312" w:hAnsi="楷体_GB2312" w:cs="楷体_GB2312" w:hint="eastAsia"/>
          <w:b/>
          <w:bCs/>
          <w:color w:val="000000"/>
          <w:sz w:val="32"/>
          <w:szCs w:val="32"/>
        </w:rPr>
        <w:t>)进一步凝练专业特色</w:t>
      </w:r>
    </w:p>
    <w:p w14:paraId="7F183A32"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形成面向武汉产业发展、锚定武汉城市文化形象设计的专业特色。艺术硕士专业学位研究生教育的主要目标是为艺术设计等艺术领域培养具有系统专业知识和高水平实践能力的高层次、应用型专门人才，为服务国家文化发展战略提供优质人才保障。根据江汉大学高水平城市大学建设特色及学科优势，为适应武汉会展产业及设计之都文化发展以及新兴行业需求，已设置会展与视觉艺术设计、整合创新设计两个专业方向。阶段目标为加强与产业的结合，通过产教融合、研究生工作站建设培育、师生科研项目、学科竞赛等对城市创新共同体特色形成强支撑。</w:t>
      </w:r>
    </w:p>
    <w:p w14:paraId="5F7D8DAB" w14:textId="77777777" w:rsidR="00616E23" w:rsidRDefault="00000000">
      <w:pPr>
        <w:spacing w:line="560"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（二）提升师资队伍数量与质量</w:t>
      </w:r>
    </w:p>
    <w:p w14:paraId="6EB0BC8C"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人员规模。艺术设计领域的现有校内专任教师11 人；校外行业导师 9 人。阶段目标为根据招生规模的扩大将进一步加强校内外导师队伍的建设，校内外导师人数到达24人；人员结构。专任教师中，45岁以下占比已超过90%。阶段目标为继续提升导师教学和实践经历，完成每位导师都有学生考上相关专业研究生或获得过创作等奖项；骨干教师。阶段目标为继续提升带头人与骨干教师在省部级创作实践项目或实践教研类项目数量，每年不少于2项。 </w:t>
      </w:r>
    </w:p>
    <w:p w14:paraId="0D3E487D" w14:textId="77777777" w:rsidR="00616E23" w:rsidRDefault="00000000">
      <w:pPr>
        <w:spacing w:line="560"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（三）人才培养质量进一步提升</w:t>
      </w:r>
    </w:p>
    <w:p w14:paraId="296FA02E"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课程与教学。阶段目标为力争在相关学科或专业的教学活动成果获得过省级及以上奖励每年不少于2项。继续围绕《艺术硕士指导性培养方案》的要求及《艺术专业硕士学位基本要求》提升实践能力和创新能力，完善两个培养方向的</w:t>
      </w:r>
      <w:r>
        <w:rPr>
          <w:rFonts w:ascii="仿宋_GB2312" w:eastAsia="仿宋_GB2312" w:hAnsi="仿宋_GB2312" w:cs="仿宋_GB2312" w:hint="eastAsia"/>
          <w:sz w:val="32"/>
          <w:szCs w:val="32"/>
        </w:rPr>
        <w:lastRenderedPageBreak/>
        <w:t xml:space="preserve">特色制定培养方案和完善的课程体系（含实践、实习环节），完善课程教学管理、考核和评价体系；培养质量。阶段目标为建立健全研究生就业服务体系及研究生就业单位信息平台，推进高质量就业。 </w:t>
      </w:r>
    </w:p>
    <w:p w14:paraId="3A60C41A" w14:textId="77777777" w:rsidR="00616E23" w:rsidRDefault="00000000">
      <w:pPr>
        <w:spacing w:line="560"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（四）培养环境与条件持续改善</w:t>
      </w:r>
    </w:p>
    <w:p w14:paraId="2D4FE68C"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科研与创作水平。阶段目标为每年获得省部级教学、科研或创作奖项不少于 2 项；不少于 1/2 的专任教师参与过省部级实践教研类项目。</w:t>
      </w:r>
    </w:p>
    <w:p w14:paraId="6D4C5F2D"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实践教学。阶段目标为每年开展各类专业展示活动、安排必要的案例教学、主动参与行业项目，增加校外艺术实践教学基地不少于2项。依据《艺术硕士指导性培养方案》的要求，合理实行（学校、行业）双导师制，聘请具有丰富经验的行业专家辅助指导学生的专业实践，完善《艺术设计专业学位研究生实践课程学分具体管理规定》；支撑条件。阶段目标为健全研究生教育管理机构，建立完备的学风与道德建设制度。</w:t>
      </w:r>
    </w:p>
    <w:p w14:paraId="25EC24C8" w14:textId="77777777" w:rsidR="00616E23" w:rsidRDefault="00000000">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三、整改内容及措施</w:t>
      </w:r>
    </w:p>
    <w:tbl>
      <w:tblPr>
        <w:tblStyle w:val="a3"/>
        <w:tblW w:w="8519" w:type="dxa"/>
        <w:tblLayout w:type="fixed"/>
        <w:tblLook w:val="04A0" w:firstRow="1" w:lastRow="0" w:firstColumn="1" w:lastColumn="0" w:noHBand="0" w:noVBand="1"/>
      </w:tblPr>
      <w:tblGrid>
        <w:gridCol w:w="515"/>
        <w:gridCol w:w="2049"/>
        <w:gridCol w:w="1674"/>
        <w:gridCol w:w="951"/>
        <w:gridCol w:w="1752"/>
        <w:gridCol w:w="1578"/>
      </w:tblGrid>
      <w:tr w:rsidR="00616E23" w14:paraId="2ADF1D65" w14:textId="77777777" w:rsidTr="003659AF">
        <w:trPr>
          <w:trHeight w:val="2168"/>
        </w:trPr>
        <w:tc>
          <w:tcPr>
            <w:tcW w:w="515" w:type="dxa"/>
            <w:vAlign w:val="center"/>
          </w:tcPr>
          <w:p w14:paraId="6F4BC1A1" w14:textId="77777777" w:rsidR="00616E23"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建设领域</w:t>
            </w:r>
          </w:p>
        </w:tc>
        <w:tc>
          <w:tcPr>
            <w:tcW w:w="2049" w:type="dxa"/>
            <w:vAlign w:val="center"/>
          </w:tcPr>
          <w:p w14:paraId="48502770" w14:textId="77777777" w:rsidR="00616E23"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建设措施</w:t>
            </w:r>
          </w:p>
        </w:tc>
        <w:tc>
          <w:tcPr>
            <w:tcW w:w="1674" w:type="dxa"/>
            <w:vAlign w:val="center"/>
          </w:tcPr>
          <w:p w14:paraId="4605C788" w14:textId="77777777" w:rsidR="00616E23"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建设成果</w:t>
            </w:r>
          </w:p>
        </w:tc>
        <w:tc>
          <w:tcPr>
            <w:tcW w:w="951" w:type="dxa"/>
            <w:vAlign w:val="center"/>
          </w:tcPr>
          <w:p w14:paraId="66C4900F" w14:textId="77777777" w:rsidR="00616E23"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完成度自评（%）</w:t>
            </w:r>
          </w:p>
        </w:tc>
        <w:tc>
          <w:tcPr>
            <w:tcW w:w="1752" w:type="dxa"/>
            <w:vAlign w:val="center"/>
          </w:tcPr>
          <w:p w14:paraId="1DD77F9F" w14:textId="77777777" w:rsidR="00616E23"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工作目标及重点任务</w:t>
            </w:r>
          </w:p>
        </w:tc>
        <w:tc>
          <w:tcPr>
            <w:tcW w:w="1578" w:type="dxa"/>
            <w:vAlign w:val="center"/>
          </w:tcPr>
          <w:p w14:paraId="6F47A703" w14:textId="77777777" w:rsidR="00616E23"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备注（困难及希望得到的支持等）</w:t>
            </w:r>
          </w:p>
        </w:tc>
      </w:tr>
      <w:tr w:rsidR="00616E23" w14:paraId="0956F1D6" w14:textId="77777777" w:rsidTr="003659AF">
        <w:trPr>
          <w:trHeight w:val="1328"/>
        </w:trPr>
        <w:tc>
          <w:tcPr>
            <w:tcW w:w="515" w:type="dxa"/>
            <w:vMerge w:val="restart"/>
          </w:tcPr>
          <w:p w14:paraId="4C77768B" w14:textId="77777777" w:rsidR="00616E23" w:rsidRDefault="00616E23">
            <w:pPr>
              <w:spacing w:line="560" w:lineRule="exact"/>
              <w:rPr>
                <w:rFonts w:ascii="仿宋_GB2312" w:eastAsia="仿宋_GB2312" w:hAnsi="仿宋_GB2312" w:cs="仿宋_GB2312"/>
                <w:sz w:val="32"/>
                <w:szCs w:val="32"/>
              </w:rPr>
            </w:pPr>
          </w:p>
          <w:p w14:paraId="1E0B9DF2" w14:textId="77777777" w:rsidR="00616E23" w:rsidRDefault="00616E23">
            <w:pPr>
              <w:spacing w:line="560" w:lineRule="exact"/>
              <w:rPr>
                <w:rFonts w:ascii="仿宋_GB2312" w:eastAsia="仿宋_GB2312" w:hAnsi="仿宋_GB2312" w:cs="仿宋_GB2312"/>
                <w:sz w:val="32"/>
                <w:szCs w:val="32"/>
              </w:rPr>
            </w:pPr>
          </w:p>
          <w:p w14:paraId="3EB71286" w14:textId="77777777" w:rsidR="00616E23" w:rsidRDefault="00616E23">
            <w:pPr>
              <w:spacing w:line="560" w:lineRule="exact"/>
              <w:rPr>
                <w:rFonts w:ascii="仿宋_GB2312" w:eastAsia="仿宋_GB2312" w:hAnsi="仿宋_GB2312" w:cs="仿宋_GB2312"/>
                <w:sz w:val="32"/>
                <w:szCs w:val="32"/>
              </w:rPr>
            </w:pPr>
          </w:p>
          <w:p w14:paraId="104E6EB5" w14:textId="77777777" w:rsidR="00616E23" w:rsidRDefault="00616E23">
            <w:pPr>
              <w:spacing w:line="560" w:lineRule="exact"/>
              <w:rPr>
                <w:rFonts w:ascii="仿宋_GB2312" w:eastAsia="仿宋_GB2312" w:hAnsi="仿宋_GB2312" w:cs="仿宋_GB2312"/>
                <w:sz w:val="32"/>
                <w:szCs w:val="32"/>
              </w:rPr>
            </w:pPr>
          </w:p>
          <w:p w14:paraId="2BF9C8EE" w14:textId="77777777" w:rsidR="00616E23" w:rsidRDefault="00616E23">
            <w:pPr>
              <w:spacing w:line="560" w:lineRule="exact"/>
              <w:rPr>
                <w:rFonts w:ascii="仿宋_GB2312" w:eastAsia="仿宋_GB2312" w:hAnsi="仿宋_GB2312" w:cs="仿宋_GB2312"/>
                <w:sz w:val="32"/>
                <w:szCs w:val="32"/>
              </w:rPr>
            </w:pPr>
          </w:p>
          <w:p w14:paraId="289E2EA0" w14:textId="77777777" w:rsidR="00616E23" w:rsidRDefault="00616E23">
            <w:pPr>
              <w:spacing w:line="560" w:lineRule="exact"/>
              <w:rPr>
                <w:rFonts w:ascii="仿宋_GB2312" w:eastAsia="仿宋_GB2312" w:hAnsi="仿宋_GB2312" w:cs="仿宋_GB2312"/>
                <w:sz w:val="32"/>
                <w:szCs w:val="32"/>
              </w:rPr>
            </w:pPr>
          </w:p>
          <w:p w14:paraId="576F73A2" w14:textId="77777777" w:rsidR="00616E23" w:rsidRDefault="00616E23">
            <w:pPr>
              <w:spacing w:line="560" w:lineRule="exact"/>
              <w:rPr>
                <w:rFonts w:ascii="仿宋_GB2312" w:eastAsia="仿宋_GB2312" w:hAnsi="仿宋_GB2312" w:cs="仿宋_GB2312"/>
                <w:sz w:val="32"/>
                <w:szCs w:val="32"/>
              </w:rPr>
            </w:pPr>
          </w:p>
          <w:p w14:paraId="69B400F0" w14:textId="77777777" w:rsidR="00616E23" w:rsidRDefault="00616E23">
            <w:pPr>
              <w:spacing w:line="560" w:lineRule="exact"/>
              <w:rPr>
                <w:rFonts w:ascii="仿宋_GB2312" w:eastAsia="仿宋_GB2312" w:hAnsi="仿宋_GB2312" w:cs="仿宋_GB2312"/>
                <w:sz w:val="32"/>
                <w:szCs w:val="32"/>
              </w:rPr>
            </w:pPr>
          </w:p>
          <w:p w14:paraId="3994F764"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b/>
                <w:bCs/>
                <w:sz w:val="32"/>
                <w:szCs w:val="32"/>
              </w:rPr>
              <w:t>艺术设计</w:t>
            </w:r>
          </w:p>
        </w:tc>
        <w:tc>
          <w:tcPr>
            <w:tcW w:w="2049" w:type="dxa"/>
          </w:tcPr>
          <w:p w14:paraId="22E38901"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深化现有实习实践基地建设，筹备建</w:t>
            </w:r>
            <w:r>
              <w:rPr>
                <w:rFonts w:ascii="仿宋_GB2312" w:eastAsia="仿宋_GB2312" w:hAnsi="仿宋_GB2312" w:cs="仿宋_GB2312" w:hint="eastAsia"/>
                <w:sz w:val="32"/>
                <w:szCs w:val="32"/>
              </w:rPr>
              <w:lastRenderedPageBreak/>
              <w:t>立省级研究生工作站</w:t>
            </w:r>
          </w:p>
        </w:tc>
        <w:tc>
          <w:tcPr>
            <w:tcW w:w="1674" w:type="dxa"/>
          </w:tcPr>
          <w:p w14:paraId="0E0B9E65"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成功申报艺术设计领域省级</w:t>
            </w:r>
            <w:r>
              <w:rPr>
                <w:rFonts w:ascii="仿宋_GB2312" w:eastAsia="仿宋_GB2312" w:hAnsi="仿宋_GB2312" w:cs="仿宋_GB2312" w:hint="eastAsia"/>
                <w:sz w:val="32"/>
                <w:szCs w:val="32"/>
              </w:rPr>
              <w:lastRenderedPageBreak/>
              <w:t>研究生工作站。</w:t>
            </w:r>
          </w:p>
          <w:p w14:paraId="6EC8308D" w14:textId="77777777" w:rsidR="00616E23" w:rsidRDefault="00616E23">
            <w:pPr>
              <w:spacing w:line="560" w:lineRule="exact"/>
              <w:rPr>
                <w:rFonts w:ascii="仿宋_GB2312" w:eastAsia="仿宋_GB2312" w:hAnsi="仿宋_GB2312" w:cs="仿宋_GB2312"/>
                <w:sz w:val="32"/>
                <w:szCs w:val="32"/>
              </w:rPr>
            </w:pPr>
          </w:p>
          <w:p w14:paraId="10FB8357" w14:textId="77777777" w:rsidR="00616E23" w:rsidRDefault="00616E23">
            <w:pPr>
              <w:spacing w:line="560" w:lineRule="exact"/>
              <w:rPr>
                <w:rFonts w:ascii="仿宋_GB2312" w:eastAsia="仿宋_GB2312" w:hAnsi="仿宋_GB2312" w:cs="仿宋_GB2312"/>
                <w:sz w:val="32"/>
                <w:szCs w:val="32"/>
              </w:rPr>
            </w:pPr>
          </w:p>
          <w:p w14:paraId="1BEA6CA9" w14:textId="77777777" w:rsidR="00616E23" w:rsidRDefault="00616E23">
            <w:pPr>
              <w:spacing w:line="560" w:lineRule="exact"/>
              <w:rPr>
                <w:rFonts w:ascii="仿宋_GB2312" w:eastAsia="仿宋_GB2312" w:hAnsi="仿宋_GB2312" w:cs="仿宋_GB2312"/>
                <w:sz w:val="32"/>
                <w:szCs w:val="32"/>
              </w:rPr>
            </w:pPr>
          </w:p>
        </w:tc>
        <w:tc>
          <w:tcPr>
            <w:tcW w:w="951" w:type="dxa"/>
          </w:tcPr>
          <w:p w14:paraId="0B5750E3" w14:textId="77777777" w:rsidR="00616E23" w:rsidRDefault="00616E23">
            <w:pPr>
              <w:spacing w:line="560" w:lineRule="exact"/>
              <w:rPr>
                <w:rFonts w:ascii="仿宋_GB2312" w:eastAsia="仿宋_GB2312" w:hAnsi="仿宋_GB2312" w:cs="仿宋_GB2312"/>
                <w:sz w:val="32"/>
                <w:szCs w:val="32"/>
              </w:rPr>
            </w:pPr>
          </w:p>
          <w:p w14:paraId="2FC6BE80"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20%</w:t>
            </w:r>
          </w:p>
        </w:tc>
        <w:tc>
          <w:tcPr>
            <w:tcW w:w="1752" w:type="dxa"/>
          </w:tcPr>
          <w:p w14:paraId="76870A84"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2022年建立校级研究生工作</w:t>
            </w:r>
            <w:r>
              <w:rPr>
                <w:rFonts w:ascii="仿宋_GB2312" w:eastAsia="仿宋_GB2312" w:hAnsi="仿宋_GB2312" w:cs="仿宋_GB2312" w:hint="eastAsia"/>
                <w:sz w:val="32"/>
                <w:szCs w:val="32"/>
              </w:rPr>
              <w:lastRenderedPageBreak/>
              <w:t>站，培育指导队伍及科研成果。</w:t>
            </w:r>
          </w:p>
        </w:tc>
        <w:tc>
          <w:tcPr>
            <w:tcW w:w="1578" w:type="dxa"/>
          </w:tcPr>
          <w:p w14:paraId="35AB57E0"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望学校各部门对校级研究生</w:t>
            </w:r>
            <w:r>
              <w:rPr>
                <w:rFonts w:ascii="仿宋_GB2312" w:eastAsia="仿宋_GB2312" w:hAnsi="仿宋_GB2312" w:cs="仿宋_GB2312" w:hint="eastAsia"/>
                <w:sz w:val="32"/>
                <w:szCs w:val="32"/>
              </w:rPr>
              <w:lastRenderedPageBreak/>
              <w:t>工作站建设给予更多的经费及政策支持。</w:t>
            </w:r>
          </w:p>
        </w:tc>
      </w:tr>
      <w:tr w:rsidR="00616E23" w14:paraId="22D6EDD6" w14:textId="77777777" w:rsidTr="003659AF">
        <w:trPr>
          <w:trHeight w:val="2404"/>
        </w:trPr>
        <w:tc>
          <w:tcPr>
            <w:tcW w:w="515" w:type="dxa"/>
            <w:vMerge/>
          </w:tcPr>
          <w:p w14:paraId="678860D4" w14:textId="77777777" w:rsidR="00616E23" w:rsidRDefault="00616E23">
            <w:pPr>
              <w:spacing w:line="560" w:lineRule="exact"/>
              <w:rPr>
                <w:rFonts w:ascii="仿宋_GB2312" w:eastAsia="仿宋_GB2312" w:hAnsi="仿宋_GB2312" w:cs="仿宋_GB2312"/>
                <w:sz w:val="32"/>
                <w:szCs w:val="32"/>
              </w:rPr>
            </w:pPr>
          </w:p>
        </w:tc>
        <w:tc>
          <w:tcPr>
            <w:tcW w:w="2049" w:type="dxa"/>
          </w:tcPr>
          <w:p w14:paraId="75F786CB"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提升研究生在各类学术交流中的参与度</w:t>
            </w:r>
          </w:p>
        </w:tc>
        <w:tc>
          <w:tcPr>
            <w:tcW w:w="1674" w:type="dxa"/>
          </w:tcPr>
          <w:p w14:paraId="33FB1B86"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形成高水平学术交流活动数字化资源库，建立起研究生参与各类学术交流活动参与及评价机制。</w:t>
            </w:r>
          </w:p>
        </w:tc>
        <w:tc>
          <w:tcPr>
            <w:tcW w:w="951" w:type="dxa"/>
          </w:tcPr>
          <w:p w14:paraId="435BAE3C"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40%</w:t>
            </w:r>
          </w:p>
        </w:tc>
        <w:tc>
          <w:tcPr>
            <w:tcW w:w="1752" w:type="dxa"/>
          </w:tcPr>
          <w:p w14:paraId="2F38035F"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2022年建设数字化资源库，形成艺术设计领域研究生品牌学术活动及指导手册。</w:t>
            </w:r>
          </w:p>
        </w:tc>
        <w:tc>
          <w:tcPr>
            <w:tcW w:w="1578" w:type="dxa"/>
          </w:tcPr>
          <w:p w14:paraId="12E6299B"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疫情防控影响外出参加活动，将更多以线上活动为主。</w:t>
            </w:r>
          </w:p>
        </w:tc>
      </w:tr>
      <w:tr w:rsidR="00616E23" w14:paraId="7282A856" w14:textId="77777777" w:rsidTr="003659AF">
        <w:trPr>
          <w:trHeight w:val="2404"/>
        </w:trPr>
        <w:tc>
          <w:tcPr>
            <w:tcW w:w="515" w:type="dxa"/>
            <w:vMerge/>
          </w:tcPr>
          <w:p w14:paraId="2A6EEC02" w14:textId="77777777" w:rsidR="00616E23" w:rsidRDefault="00616E23">
            <w:pPr>
              <w:spacing w:line="560" w:lineRule="exact"/>
              <w:rPr>
                <w:rFonts w:ascii="仿宋_GB2312" w:eastAsia="仿宋_GB2312" w:hAnsi="仿宋_GB2312" w:cs="仿宋_GB2312"/>
                <w:sz w:val="32"/>
                <w:szCs w:val="32"/>
              </w:rPr>
            </w:pPr>
          </w:p>
        </w:tc>
        <w:tc>
          <w:tcPr>
            <w:tcW w:w="2049" w:type="dxa"/>
          </w:tcPr>
          <w:p w14:paraId="7C60C437"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利用综合性院校多学科优势，开展跨学科合作</w:t>
            </w:r>
          </w:p>
        </w:tc>
        <w:tc>
          <w:tcPr>
            <w:tcW w:w="1674" w:type="dxa"/>
          </w:tcPr>
          <w:p w14:paraId="27547ABA"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探索跨学科参赛团队、跨学科项目组建设，形成联合人才培养机制。</w:t>
            </w:r>
          </w:p>
        </w:tc>
        <w:tc>
          <w:tcPr>
            <w:tcW w:w="951" w:type="dxa"/>
          </w:tcPr>
          <w:p w14:paraId="6EF4F813"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20%</w:t>
            </w:r>
          </w:p>
        </w:tc>
        <w:tc>
          <w:tcPr>
            <w:tcW w:w="1752" w:type="dxa"/>
          </w:tcPr>
          <w:p w14:paraId="46DDEE2F"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2022年开展与人工智能学院、智能制造学院、数字建造与爆破学院跨学科合作。</w:t>
            </w:r>
          </w:p>
        </w:tc>
        <w:tc>
          <w:tcPr>
            <w:tcW w:w="1578" w:type="dxa"/>
          </w:tcPr>
          <w:p w14:paraId="4B074F86"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需研究生处协助对接相关学院教师及团队。</w:t>
            </w:r>
          </w:p>
        </w:tc>
      </w:tr>
      <w:tr w:rsidR="00616E23" w14:paraId="14F8333A" w14:textId="77777777" w:rsidTr="003659AF">
        <w:trPr>
          <w:trHeight w:val="2404"/>
        </w:trPr>
        <w:tc>
          <w:tcPr>
            <w:tcW w:w="515" w:type="dxa"/>
            <w:vMerge/>
          </w:tcPr>
          <w:p w14:paraId="1980D139" w14:textId="77777777" w:rsidR="00616E23" w:rsidRDefault="00616E23">
            <w:pPr>
              <w:spacing w:line="560" w:lineRule="exact"/>
              <w:rPr>
                <w:rFonts w:ascii="仿宋_GB2312" w:eastAsia="仿宋_GB2312" w:hAnsi="仿宋_GB2312" w:cs="仿宋_GB2312"/>
                <w:sz w:val="32"/>
                <w:szCs w:val="32"/>
              </w:rPr>
            </w:pPr>
          </w:p>
        </w:tc>
        <w:tc>
          <w:tcPr>
            <w:tcW w:w="2049" w:type="dxa"/>
          </w:tcPr>
          <w:p w14:paraId="7DE7336C"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培养环境与条件改善</w:t>
            </w:r>
          </w:p>
        </w:tc>
        <w:tc>
          <w:tcPr>
            <w:tcW w:w="1674" w:type="dxa"/>
          </w:tcPr>
          <w:p w14:paraId="29ACAD86"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达到生均4平米的固定学习空间</w:t>
            </w:r>
          </w:p>
        </w:tc>
        <w:tc>
          <w:tcPr>
            <w:tcW w:w="951" w:type="dxa"/>
          </w:tcPr>
          <w:p w14:paraId="6089A7BF"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30%</w:t>
            </w:r>
          </w:p>
        </w:tc>
        <w:tc>
          <w:tcPr>
            <w:tcW w:w="1752" w:type="dxa"/>
          </w:tcPr>
          <w:p w14:paraId="1BF541D3"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2022年继续盘活学院各类实验室空间</w:t>
            </w:r>
          </w:p>
        </w:tc>
        <w:tc>
          <w:tcPr>
            <w:tcW w:w="1578" w:type="dxa"/>
          </w:tcPr>
          <w:p w14:paraId="2AEB03A9" w14:textId="77777777" w:rsidR="00616E23" w:rsidRDefault="0000000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需研究生处加大建设投入</w:t>
            </w:r>
          </w:p>
        </w:tc>
      </w:tr>
    </w:tbl>
    <w:p w14:paraId="10D200D4" w14:textId="77777777" w:rsidR="00616E23" w:rsidRDefault="00616E23">
      <w:pPr>
        <w:spacing w:line="560" w:lineRule="exact"/>
        <w:rPr>
          <w:rFonts w:ascii="仿宋_GB2312" w:eastAsia="仿宋_GB2312" w:hAnsi="仿宋_GB2312" w:cs="仿宋_GB2312"/>
          <w:sz w:val="32"/>
          <w:szCs w:val="32"/>
        </w:rPr>
      </w:pPr>
    </w:p>
    <w:p w14:paraId="637686CD" w14:textId="77777777" w:rsidR="00616E23" w:rsidRDefault="00000000">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四、整改落实情况</w:t>
      </w:r>
    </w:p>
    <w:p w14:paraId="551E52BE" w14:textId="77777777" w:rsidR="00616E23" w:rsidRDefault="00000000">
      <w:pPr>
        <w:spacing w:line="560"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（一）专业特色</w:t>
      </w:r>
    </w:p>
    <w:p w14:paraId="07592EED"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形成面向武汉产业发展的专业特色已基本形成，但仍需加强与产业的结合，进一步加强设计服务武汉及人才培养质量。在新版人才培养方案中已加强了对专业特色的凝练，还需在实践环节、实践课程中体现。</w:t>
      </w:r>
    </w:p>
    <w:p w14:paraId="0369DCCB" w14:textId="77777777" w:rsidR="00616E23" w:rsidRDefault="00000000">
      <w:pPr>
        <w:spacing w:line="560"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（二）师资队伍</w:t>
      </w:r>
    </w:p>
    <w:p w14:paraId="0F480F0C"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人员规模。艺术设计领域的现有校内专任教师11 人；校外行业导师 9 人。根据艺术设计领域研究生教育发展，2024年前还需提升新增校内外导师4人。</w:t>
      </w:r>
    </w:p>
    <w:p w14:paraId="5A75F4C8"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人员结构。专任教师中满足45 岁以下不少于 1/3已达标。导师团队已达成都具备</w:t>
      </w:r>
      <w:proofErr w:type="gramStart"/>
      <w:r>
        <w:rPr>
          <w:rFonts w:ascii="仿宋_GB2312" w:eastAsia="仿宋_GB2312" w:hAnsi="仿宋_GB2312" w:cs="仿宋_GB2312" w:hint="eastAsia"/>
          <w:sz w:val="32"/>
          <w:szCs w:val="32"/>
        </w:rPr>
        <w:t>本方向</w:t>
      </w:r>
      <w:proofErr w:type="gramEnd"/>
      <w:r>
        <w:rPr>
          <w:rFonts w:ascii="仿宋_GB2312" w:eastAsia="仿宋_GB2312" w:hAnsi="仿宋_GB2312" w:cs="仿宋_GB2312" w:hint="eastAsia"/>
          <w:sz w:val="32"/>
          <w:szCs w:val="32"/>
        </w:rPr>
        <w:t xml:space="preserve">专业背景，具有教学和实践经历，至少指导过 3 </w:t>
      </w:r>
      <w:proofErr w:type="gramStart"/>
      <w:r>
        <w:rPr>
          <w:rFonts w:ascii="仿宋_GB2312" w:eastAsia="仿宋_GB2312" w:hAnsi="仿宋_GB2312" w:cs="仿宋_GB2312" w:hint="eastAsia"/>
          <w:sz w:val="32"/>
          <w:szCs w:val="32"/>
        </w:rPr>
        <w:t>届相关</w:t>
      </w:r>
      <w:proofErr w:type="gramEnd"/>
      <w:r>
        <w:rPr>
          <w:rFonts w:ascii="仿宋_GB2312" w:eastAsia="仿宋_GB2312" w:hAnsi="仿宋_GB2312" w:cs="仿宋_GB2312" w:hint="eastAsia"/>
          <w:sz w:val="32"/>
          <w:szCs w:val="32"/>
        </w:rPr>
        <w:t xml:space="preserve">专业方向的本科生，并有学生考上相关专业研究生或获得过创作等奖项等。 </w:t>
      </w:r>
    </w:p>
    <w:p w14:paraId="7A3C8A0C"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骨干教师。已满足每个专业方向须至少有 1 名专业带头人和 2 名骨干教师。近 10 年，带头人主持过 2 项省部级创作实践项目或实践教研类项目已达标；骨干教师主持过1项省部级创作实践或实践教研类项目仍需继续整改。</w:t>
      </w:r>
    </w:p>
    <w:p w14:paraId="7F88F60D" w14:textId="77777777" w:rsidR="00616E23" w:rsidRDefault="00000000">
      <w:pPr>
        <w:spacing w:line="560"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（三）人才培养质量</w:t>
      </w:r>
    </w:p>
    <w:p w14:paraId="44544F20"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课程与教学。相关学科或专业的教学活动成果获得过省级及以上奖励方面需继续整改。已达成依据《艺术硕士指导性培养方案》的要求及《艺术专业硕士学位基本要求》，围绕提升实践能力和创新能力，针对所申请领域方向的特色制定培养方案和完善的课程体系（含实践、实习环节），并能采用科学合理的方式教学，具有完整的课程教学管理、考核和评价体系。 </w:t>
      </w:r>
    </w:p>
    <w:p w14:paraId="716C68F2"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培养质量。申请单位已毕业的本科生或研究生培养质量突出，毕业生的专业能力强、职业素质高，毕业去向良好，得到用人单位好评。一定数量的本科生升学情况良好但比例不高。 </w:t>
      </w:r>
    </w:p>
    <w:p w14:paraId="67030273" w14:textId="77777777" w:rsidR="00616E23" w:rsidRDefault="00000000">
      <w:pPr>
        <w:spacing w:line="560"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（四）培养环境与条件</w:t>
      </w:r>
    </w:p>
    <w:p w14:paraId="7981DD66"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科研与创作水平。近 5 年，申请单位在相关专业领域所承担的包括创作实践、实践教研等省部级各类基金、项目不少于 10 项。获得省部级教学、科研或创作奖项不少于 2 项；有不少于 1/2 的专任教师参与过省部级实践教研类项目。本单位专任教师及学生创作过一定数量的在本领域比较有影响的作品及举办过数次在本领域比较有影响的教学科研活动方面仍需继续整改。 </w:t>
      </w:r>
    </w:p>
    <w:p w14:paraId="06179A47" w14:textId="77777777" w:rsidR="00616E23"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实践教学。能够依据《艺术硕士指导性培养方案》的要求，合理实行（学校、行业）双导师制，聘请具有丰富经验的行业专家辅助指导学生的专业实践，已制定较为完善的《专业学位研究生实践课程学分具体管理规定》。积极开展各类专业展示活动、安排必要的案例教学、主动参与行业项</w:t>
      </w:r>
      <w:r>
        <w:rPr>
          <w:rFonts w:ascii="仿宋_GB2312" w:eastAsia="仿宋_GB2312" w:hAnsi="仿宋_GB2312" w:cs="仿宋_GB2312" w:hint="eastAsia"/>
          <w:sz w:val="32"/>
          <w:szCs w:val="32"/>
        </w:rPr>
        <w:lastRenderedPageBreak/>
        <w:t>目仍需继续整改，需继续完善艺术实践教学基地及专业实践教学的管理办法。</w:t>
      </w:r>
    </w:p>
    <w:p w14:paraId="06031EBE" w14:textId="018509B3" w:rsidR="00616E23" w:rsidRDefault="00000000" w:rsidP="003659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支撑条件。生均不少于 4 平方米的专用教室建设仍需继续整改；电子图像资料和阅览条件已具备。拥有与专业直接相关的图书不少于 20000册，国内外学术期刊不少于 30 种，音像资源不少于 1 万小时；同时，图书馆应有能与国外专业数据库连接的接口、并具备使用这些专业数据库的资格与条件。研究生教育管理机构仍需继续整改。</w:t>
      </w:r>
    </w:p>
    <w:p w14:paraId="67D1C907" w14:textId="77777777" w:rsidR="003659AF" w:rsidRDefault="003659AF" w:rsidP="003659AF">
      <w:pPr>
        <w:spacing w:line="560" w:lineRule="exact"/>
        <w:ind w:firstLineChars="200" w:firstLine="640"/>
        <w:rPr>
          <w:rFonts w:ascii="仿宋_GB2312" w:eastAsia="仿宋_GB2312" w:hAnsi="仿宋_GB2312" w:cs="仿宋_GB2312" w:hint="eastAsia"/>
          <w:sz w:val="32"/>
          <w:szCs w:val="32"/>
        </w:rPr>
      </w:pPr>
    </w:p>
    <w:p w14:paraId="4B7279D5" w14:textId="77777777" w:rsidR="00616E23" w:rsidRDefault="00000000">
      <w:pPr>
        <w:spacing w:line="56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江汉大学设计学院</w:t>
      </w:r>
    </w:p>
    <w:p w14:paraId="01B8C71C" w14:textId="77777777" w:rsidR="00616E23" w:rsidRDefault="00000000">
      <w:pPr>
        <w:spacing w:line="56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学科与研究生管理办公室</w:t>
      </w:r>
    </w:p>
    <w:p w14:paraId="28BB31C6" w14:textId="77777777" w:rsidR="00616E23" w:rsidRDefault="00000000">
      <w:pPr>
        <w:spacing w:line="56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2022年9月30日</w:t>
      </w:r>
    </w:p>
    <w:sectPr w:rsidR="00616E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NjOTQzYjZlNjk4NjY1MDAzZDU1NmY5Yzk3ODNkYmQifQ=="/>
  </w:docVars>
  <w:rsids>
    <w:rsidRoot w:val="00616E23"/>
    <w:rsid w:val="00122402"/>
    <w:rsid w:val="003659AF"/>
    <w:rsid w:val="00616E23"/>
    <w:rsid w:val="01E3537F"/>
    <w:rsid w:val="0BC50F1E"/>
    <w:rsid w:val="0F476BAA"/>
    <w:rsid w:val="1A4A0439"/>
    <w:rsid w:val="21537630"/>
    <w:rsid w:val="215616A2"/>
    <w:rsid w:val="23992F02"/>
    <w:rsid w:val="25870BC4"/>
    <w:rsid w:val="26B42D37"/>
    <w:rsid w:val="27BB73E5"/>
    <w:rsid w:val="280845B3"/>
    <w:rsid w:val="29DA7265"/>
    <w:rsid w:val="2FD847E6"/>
    <w:rsid w:val="32A45C39"/>
    <w:rsid w:val="334103A2"/>
    <w:rsid w:val="340E7252"/>
    <w:rsid w:val="396F3890"/>
    <w:rsid w:val="3BD56F73"/>
    <w:rsid w:val="429F6E44"/>
    <w:rsid w:val="432B58BF"/>
    <w:rsid w:val="46EF1E51"/>
    <w:rsid w:val="521C7EFA"/>
    <w:rsid w:val="5268778B"/>
    <w:rsid w:val="52964309"/>
    <w:rsid w:val="55207644"/>
    <w:rsid w:val="57AD4076"/>
    <w:rsid w:val="5DA76F35"/>
    <w:rsid w:val="6104604C"/>
    <w:rsid w:val="63585E05"/>
    <w:rsid w:val="72B70260"/>
    <w:rsid w:val="74247E15"/>
    <w:rsid w:val="76C73A9C"/>
    <w:rsid w:val="7A1616DB"/>
    <w:rsid w:val="7C2953D9"/>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29894"/>
  <w15:docId w15:val="{A6B769A8-3F4C-434E-84F9-98BAB09CB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8"/>
      <w:lang w:bidi="mn-Mong-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465</Words>
  <Characters>2654</Characters>
  <Application>Microsoft Office Word</Application>
  <DocSecurity>0</DocSecurity>
  <Lines>22</Lines>
  <Paragraphs>6</Paragraphs>
  <ScaleCrop>false</ScaleCrop>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蔡瑞</dc:creator>
  <cp:lastModifiedBy>肖 肖</cp:lastModifiedBy>
  <cp:revision>4</cp:revision>
  <cp:lastPrinted>2022-09-30T06:40:00Z</cp:lastPrinted>
  <dcterms:created xsi:type="dcterms:W3CDTF">2022-07-13T02:54:00Z</dcterms:created>
  <dcterms:modified xsi:type="dcterms:W3CDTF">2022-10-12T06:16:00Z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59472A519D164C3F8AEFD9DFC27A24DB</vt:lpwstr>
  </property>
</Properties>
</file>