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AD591">
      <w:pPr>
        <w:spacing w:line="640" w:lineRule="exact"/>
        <w:rPr>
          <w:rFonts w:eastAsia="仿宋_GB2312"/>
          <w:sz w:val="32"/>
        </w:rPr>
      </w:pPr>
      <w:bookmarkStart w:id="2" w:name="_GoBack"/>
      <w:bookmarkEnd w:id="2"/>
    </w:p>
    <w:p w14:paraId="146FEFAC">
      <w:pPr>
        <w:spacing w:line="640" w:lineRule="exact"/>
        <w:rPr>
          <w:rFonts w:eastAsia="仿宋_GB2312"/>
          <w:sz w:val="32"/>
        </w:rPr>
      </w:pPr>
      <w:r>
        <w:rPr>
          <w:rFonts w:hint="eastAsia" w:eastAsia="仿宋_GB2312"/>
          <w:sz w:val="32"/>
        </w:rPr>
        <mc:AlternateContent>
          <mc:Choice Requires="wps">
            <w:drawing>
              <wp:anchor distT="0" distB="0" distL="114300" distR="114300" simplePos="0" relativeHeight="251659264" behindDoc="0" locked="0" layoutInCell="1" allowOverlap="1">
                <wp:simplePos x="0" y="0"/>
                <wp:positionH relativeFrom="column">
                  <wp:posOffset>350520</wp:posOffset>
                </wp:positionH>
                <wp:positionV relativeFrom="paragraph">
                  <wp:posOffset>294640</wp:posOffset>
                </wp:positionV>
                <wp:extent cx="5021580" cy="1059180"/>
                <wp:effectExtent l="0" t="4445" r="0" b="3175"/>
                <wp:wrapNone/>
                <wp:docPr id="6" name="Text Box 4"/>
                <wp:cNvGraphicFramePr/>
                <a:graphic xmlns:a="http://schemas.openxmlformats.org/drawingml/2006/main">
                  <a:graphicData uri="http://schemas.microsoft.com/office/word/2010/wordprocessingShape">
                    <wps:wsp>
                      <wps:cNvSpPr txBox="1">
                        <a:spLocks noChangeArrowheads="1"/>
                      </wps:cNvSpPr>
                      <wps:spPr bwMode="auto">
                        <a:xfrm>
                          <a:off x="0" y="0"/>
                          <a:ext cx="5021580" cy="1059180"/>
                        </a:xfrm>
                        <a:prstGeom prst="rect">
                          <a:avLst/>
                        </a:prstGeom>
                        <a:noFill/>
                        <a:ln>
                          <a:noFill/>
                        </a:ln>
                      </wps:spPr>
                      <wps:txbx>
                        <w:txbxContent>
                          <w:p w14:paraId="196312E5">
                            <w:r>
                              <w:drawing>
                                <wp:inline distT="0" distB="0" distL="0" distR="0">
                                  <wp:extent cx="4838065" cy="908050"/>
                                  <wp:effectExtent l="0" t="0" r="635" b="6350"/>
                                  <wp:docPr id="1" name="图片 1" descr="红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红头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838065" cy="9080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anchor>
            </w:drawing>
          </mc:Choice>
          <mc:Fallback>
            <w:pict>
              <v:shape id="Text Box 4" o:spid="_x0000_s1026" o:spt="202" type="#_x0000_t202" style="position:absolute;left:0pt;margin-left:27.6pt;margin-top:23.2pt;height:83.4pt;width:395.4pt;mso-wrap-style:none;z-index:251659264;mso-width-relative:page;mso-height-relative:page;" filled="f" stroked="f" coordsize="21600,21600" o:gfxdata="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kJh4TWAAAACQEAAA8AAAAAAAAAAQAgAAAAIgAAAGRycy9k&#10;b3ducmV2LnhtbFBLAQIUABQAAAAIAIdO4kAfQNxUBAIAABMEAAAOAAAAAAAAAAEAIAAAACUBAABk&#10;cnMvZTJvRG9jLnhtbFBLBQYAAAAABgAGAFkBAACbBQAAAAA=&#10;">
                <v:fill on="f" focussize="0,0"/>
                <v:stroke on="f"/>
                <v:imagedata o:title=""/>
                <o:lock v:ext="edit" aspectratio="f"/>
                <v:textbox style="mso-fit-shape-to-text:t;">
                  <w:txbxContent>
                    <w:p w14:paraId="196312E5">
                      <w:r>
                        <w:drawing>
                          <wp:inline distT="0" distB="0" distL="0" distR="0">
                            <wp:extent cx="4838065" cy="908050"/>
                            <wp:effectExtent l="0" t="0" r="635" b="6350"/>
                            <wp:docPr id="1" name="图片 1" descr="红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红头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838065" cy="908050"/>
                                    </a:xfrm>
                                    <a:prstGeom prst="rect">
                                      <a:avLst/>
                                    </a:prstGeom>
                                    <a:noFill/>
                                    <a:ln>
                                      <a:noFill/>
                                    </a:ln>
                                  </pic:spPr>
                                </pic:pic>
                              </a:graphicData>
                            </a:graphic>
                          </wp:inline>
                        </w:drawing>
                      </w:r>
                    </w:p>
                  </w:txbxContent>
                </v:textbox>
              </v:shape>
            </w:pict>
          </mc:Fallback>
        </mc:AlternateContent>
      </w:r>
    </w:p>
    <w:p w14:paraId="254A64B7">
      <w:pPr>
        <w:spacing w:line="640" w:lineRule="exact"/>
        <w:rPr>
          <w:rFonts w:eastAsia="仿宋_GB2312"/>
          <w:sz w:val="32"/>
        </w:rPr>
      </w:pPr>
    </w:p>
    <w:p w14:paraId="3206820B">
      <w:pPr>
        <w:spacing w:line="640" w:lineRule="exact"/>
        <w:rPr>
          <w:rFonts w:eastAsia="仿宋_GB2312"/>
          <w:sz w:val="32"/>
        </w:rPr>
      </w:pPr>
    </w:p>
    <w:p w14:paraId="3EB7B75D">
      <w:pPr>
        <w:spacing w:line="780" w:lineRule="exact"/>
        <w:rPr>
          <w:rFonts w:eastAsia="仿宋_GB2312"/>
          <w:sz w:val="32"/>
        </w:rPr>
      </w:pPr>
    </w:p>
    <w:p w14:paraId="29023CAF">
      <w:pPr>
        <w:jc w:val="center"/>
        <w:rPr>
          <w:rFonts w:eastAsia="仿宋_GB2312"/>
          <w:sz w:val="32"/>
        </w:rPr>
      </w:pPr>
      <w:bookmarkStart w:id="0" w:name="doc_mark"/>
      <w:r>
        <w:rPr>
          <w:rFonts w:hint="eastAsia" w:eastAsia="仿宋_GB2312"/>
          <w:sz w:val="32"/>
        </w:rPr>
        <w:t>江校研〔2022〕19号</w:t>
      </w:r>
      <w:bookmarkEnd w:id="0"/>
    </w:p>
    <w:p w14:paraId="55DECD81">
      <w:pPr>
        <w:spacing w:line="440" w:lineRule="exact"/>
        <w:jc w:val="center"/>
        <w:rPr>
          <w:rFonts w:ascii="方正小标宋简体" w:eastAsia="仿宋_GB2312"/>
          <w:sz w:val="32"/>
        </w:rPr>
      </w:pPr>
      <w:r>
        <w:rPr>
          <w:rFonts w:hint="eastAsia" w:eastAsia="仿宋_GB2312"/>
          <w:sz w:val="32"/>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179705</wp:posOffset>
                </wp:positionV>
                <wp:extent cx="6096000" cy="0"/>
                <wp:effectExtent l="10160" t="17145" r="8890" b="11430"/>
                <wp:wrapNone/>
                <wp:docPr id="5" name="Line 5"/>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15875">
                          <a:solidFill>
                            <a:srgbClr val="FF0000"/>
                          </a:solidFill>
                          <a:round/>
                        </a:ln>
                      </wps:spPr>
                      <wps:bodyPr/>
                    </wps:wsp>
                  </a:graphicData>
                </a:graphic>
              </wp:anchor>
            </w:drawing>
          </mc:Choice>
          <mc:Fallback>
            <w:pict>
              <v:line id="Line 5" o:spid="_x0000_s1026" o:spt="20" style="position:absolute;left:0pt;margin-left:-18pt;margin-top:14.15pt;height:0pt;width:480pt;z-index:251660288;mso-width-relative:page;mso-height-relative:page;" filled="f" stroked="t" coordsize="21600,21600" o:gfxdata="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E75jy1wAAAAkBAAAPAAAAAAAAAAEAIAAAACIAAABkcnMv&#10;ZG93bnJldi54bWxQSwECFAAUAAAACACHTuJABsfHHMsBAACgAwAADgAAAAAAAAABACAAAAAmAQAA&#10;ZHJzL2Uyb0RvYy54bWxQSwUGAAAAAAYABgBZAQAAYwUAAAAA&#10;">
                <v:fill on="f" focussize="0,0"/>
                <v:stroke weight="1.25pt" color="#FF0000" joinstyle="round"/>
                <v:imagedata o:title=""/>
                <o:lock v:ext="edit" aspectratio="f"/>
              </v:line>
            </w:pict>
          </mc:Fallback>
        </mc:AlternateContent>
      </w:r>
    </w:p>
    <w:p w14:paraId="5F7EB616">
      <w:pPr>
        <w:spacing w:line="440" w:lineRule="exact"/>
        <w:jc w:val="center"/>
        <w:rPr>
          <w:rFonts w:ascii="方正小标宋简体" w:eastAsia="仿宋_GB2312"/>
          <w:sz w:val="32"/>
        </w:rPr>
      </w:pPr>
    </w:p>
    <w:p w14:paraId="1B1C5D3C">
      <w:pPr>
        <w:pStyle w:val="18"/>
      </w:pPr>
      <w:bookmarkStart w:id="1" w:name="Content"/>
      <w:bookmarkEnd w:id="1"/>
      <w:r>
        <w:rPr>
          <w:rFonts w:hint="eastAsia"/>
        </w:rPr>
        <w:t>江汉大学关于</w:t>
      </w:r>
    </w:p>
    <w:p w14:paraId="2A318836">
      <w:pPr>
        <w:pStyle w:val="18"/>
      </w:pPr>
      <w:r>
        <w:rPr>
          <w:rFonts w:hint="eastAsia"/>
        </w:rPr>
        <w:t>印发研究生导师岗位管理办法的通知</w:t>
      </w:r>
    </w:p>
    <w:p w14:paraId="4943490C">
      <w:pPr>
        <w:pStyle w:val="39"/>
        <w:ind w:firstLine="640"/>
      </w:pPr>
    </w:p>
    <w:p w14:paraId="35562B80">
      <w:pPr>
        <w:pStyle w:val="39"/>
        <w:ind w:firstLine="0" w:firstLineChars="0"/>
      </w:pPr>
      <w:r>
        <w:rPr>
          <w:rFonts w:hint="eastAsia"/>
        </w:rPr>
        <w:t>各学院、各部门、各单位：</w:t>
      </w:r>
    </w:p>
    <w:p w14:paraId="45CF94AF">
      <w:pPr>
        <w:pStyle w:val="39"/>
        <w:ind w:firstLine="640"/>
      </w:pPr>
      <w:r>
        <w:rPr>
          <w:rFonts w:hint="eastAsia"/>
        </w:rPr>
        <w:t>《江汉大学研究生导师岗位管理办法》已经校长办公会审议通过，现将印发给你们，请遵照执行。</w:t>
      </w:r>
    </w:p>
    <w:p w14:paraId="4787C67B">
      <w:pPr>
        <w:tabs>
          <w:tab w:val="left" w:pos="4245"/>
        </w:tabs>
        <w:spacing w:line="560" w:lineRule="exact"/>
        <w:ind w:firstLine="640" w:firstLineChars="200"/>
        <w:rPr>
          <w:rFonts w:eastAsia="仿宋_GB2312"/>
          <w:sz w:val="32"/>
          <w:szCs w:val="32"/>
        </w:rPr>
      </w:pPr>
    </w:p>
    <w:p w14:paraId="3ED62C68">
      <w:pPr>
        <w:tabs>
          <w:tab w:val="left" w:pos="4245"/>
        </w:tabs>
        <w:spacing w:line="560" w:lineRule="exact"/>
        <w:ind w:firstLine="640" w:firstLineChars="200"/>
        <w:rPr>
          <w:rFonts w:eastAsia="仿宋_GB2312"/>
          <w:sz w:val="32"/>
          <w:szCs w:val="32"/>
        </w:rPr>
      </w:pPr>
    </w:p>
    <w:p w14:paraId="397275D0">
      <w:pPr>
        <w:tabs>
          <w:tab w:val="left" w:pos="4245"/>
        </w:tabs>
        <w:spacing w:line="560" w:lineRule="exact"/>
        <w:ind w:right="1896" w:rightChars="903" w:firstLine="640" w:firstLineChars="200"/>
        <w:jc w:val="right"/>
        <w:rPr>
          <w:rFonts w:eastAsia="仿宋_GB2312"/>
          <w:sz w:val="32"/>
          <w:szCs w:val="32"/>
        </w:rPr>
      </w:pPr>
      <w:r>
        <w:rPr>
          <w:rFonts w:hint="eastAsia" w:eastAsia="仿宋_GB2312"/>
          <w:sz w:val="32"/>
          <w:szCs w:val="32"/>
        </w:rPr>
        <w:t>江汉大学</w:t>
      </w:r>
    </w:p>
    <w:p w14:paraId="771E72D8">
      <w:pPr>
        <w:spacing w:line="560" w:lineRule="exact"/>
        <w:ind w:right="1260" w:rightChars="600"/>
        <w:jc w:val="right"/>
        <w:rPr>
          <w:rFonts w:eastAsia="仿宋_GB2312"/>
          <w:sz w:val="32"/>
          <w:szCs w:val="32"/>
        </w:rPr>
      </w:pPr>
      <w:r>
        <w:rPr>
          <w:rFonts w:hint="eastAsia" w:eastAsia="仿宋_GB2312"/>
          <w:sz w:val="32"/>
          <w:szCs w:val="32"/>
        </w:rPr>
        <w:t>20</w:t>
      </w:r>
      <w:r>
        <w:rPr>
          <w:rFonts w:eastAsia="仿宋_GB2312"/>
          <w:sz w:val="32"/>
          <w:szCs w:val="32"/>
        </w:rPr>
        <w:t>22</w:t>
      </w:r>
      <w:r>
        <w:rPr>
          <w:rFonts w:hint="eastAsia" w:eastAsia="仿宋_GB2312"/>
          <w:sz w:val="32"/>
          <w:szCs w:val="32"/>
        </w:rPr>
        <w:t>年9</w:t>
      </w:r>
      <w:r>
        <w:rPr>
          <w:rFonts w:eastAsia="仿宋_GB2312"/>
          <w:sz w:val="32"/>
          <w:szCs w:val="32"/>
        </w:rPr>
        <w:t>月23日</w:t>
      </w:r>
    </w:p>
    <w:p w14:paraId="6628B0D8">
      <w:pPr>
        <w:widowControl/>
        <w:jc w:val="left"/>
        <w:rPr>
          <w:rFonts w:ascii="方正小标宋简体" w:hAnsi="方正小标宋简体" w:eastAsia="方正小标宋简体" w:cs="方正小标宋简体"/>
          <w:sz w:val="40"/>
          <w:szCs w:val="40"/>
        </w:rPr>
      </w:pPr>
      <w:r>
        <w:rPr>
          <w:rFonts w:ascii="方正小标宋简体" w:hAnsi="方正小标宋简体" w:eastAsia="方正小标宋简体" w:cs="方正小标宋简体"/>
          <w:sz w:val="40"/>
          <w:szCs w:val="40"/>
        </w:rPr>
        <w:br w:type="page"/>
      </w:r>
    </w:p>
    <w:p w14:paraId="4215295B">
      <w:pPr>
        <w:pStyle w:val="18"/>
      </w:pPr>
      <w:r>
        <w:rPr>
          <w:rFonts w:hint="eastAsia"/>
        </w:rPr>
        <w:t>江汉大学研究生导师岗位管理办法</w:t>
      </w:r>
    </w:p>
    <w:p w14:paraId="40E06E90">
      <w:pPr>
        <w:spacing w:line="560" w:lineRule="exact"/>
        <w:ind w:firstLine="640" w:firstLineChars="200"/>
        <w:rPr>
          <w:rFonts w:ascii="仿宋_GB2312" w:hAnsi="仿宋_GB2312" w:eastAsia="仿宋_GB2312" w:cs="仿宋_GB2312"/>
          <w:sz w:val="32"/>
          <w:szCs w:val="40"/>
        </w:rPr>
      </w:pPr>
    </w:p>
    <w:p w14:paraId="7CFE505E">
      <w:pPr>
        <w:pStyle w:val="39"/>
        <w:spacing w:line="520" w:lineRule="exact"/>
        <w:ind w:firstLine="640"/>
      </w:pPr>
      <w:r>
        <w:rPr>
          <w:rFonts w:hint="eastAsia"/>
        </w:rPr>
        <w:t>为加强学校研究生导师队伍建设，规范导师岗位选聘管理，提高研究生培养质量，根据《教育部关于全面落实研究生导师立德树人职责的意见》《教育部 国家发展改革委 财政部关于加快新时代研究生教育改革发展的意见》《关于进一步严格规范学位与研究生教育质量管理的若干意见》《教育部关于加强博士生导师岗位管理的若干意见》《教育部关于印发研究生导师指导行为准则的通知》等文件要求，结合学校实际，制定本办法。</w:t>
      </w:r>
    </w:p>
    <w:p w14:paraId="435E1FFB">
      <w:pPr>
        <w:pStyle w:val="41"/>
        <w:spacing w:before="381" w:after="381"/>
      </w:pPr>
      <w:r>
        <w:rPr>
          <w:rFonts w:hint="eastAsia"/>
        </w:rPr>
        <w:t>第一章  总  则</w:t>
      </w:r>
    </w:p>
    <w:p w14:paraId="0CFDC783">
      <w:pPr>
        <w:pStyle w:val="39"/>
        <w:spacing w:line="520" w:lineRule="exact"/>
        <w:ind w:firstLine="640"/>
      </w:pPr>
      <w:r>
        <w:rPr>
          <w:rFonts w:hint="eastAsia" w:eastAsia="黑体"/>
        </w:rPr>
        <w:t>第一条</w:t>
      </w:r>
      <w:r>
        <w:rPr>
          <w:rFonts w:hint="eastAsia"/>
        </w:rPr>
        <w:t xml:space="preserve">  研究生导师是因研究生培养需要而设立的岗位，承担着培养高层次创新人才的使命，是研究生培养的第一责任人，不是职称体系中的一个固定层次或荣誉称号。研究生导师岗位按学生培养层次分为博士生导师和硕士生导师，按学位类别分为学术学位导师和专业学位导师，按人事关系分为校内导师和校外导师。校外导师包括校外兼职导师和行业导师两类，行业导师根据选聘关系分为校聘导师和院聘导师。</w:t>
      </w:r>
    </w:p>
    <w:p w14:paraId="7EDBB292">
      <w:pPr>
        <w:pStyle w:val="39"/>
        <w:spacing w:line="520" w:lineRule="exact"/>
        <w:ind w:firstLine="640"/>
      </w:pPr>
      <w:r>
        <w:rPr>
          <w:rFonts w:hint="eastAsia" w:eastAsia="黑体"/>
        </w:rPr>
        <w:t>第二条</w:t>
      </w:r>
      <w:r>
        <w:rPr>
          <w:rFonts w:hint="eastAsia"/>
        </w:rPr>
        <w:t xml:space="preserve">  导师岗位选聘及年度招生资格审核工作，应当遵循坚持标准、分类评价、动态调整的原则。导师岗位实行校院两级管理，研究生处是导师岗位管理的主管部门，负责统筹学校导师队伍建设与管理。各培养单位是导师岗位管理的第一责任单位，负责导师选聘组织、培训、考核与日常管理等。</w:t>
      </w:r>
    </w:p>
    <w:p w14:paraId="4D5E7DE7">
      <w:pPr>
        <w:pStyle w:val="41"/>
        <w:spacing w:before="381" w:after="381"/>
      </w:pPr>
      <w:r>
        <w:rPr>
          <w:rFonts w:hint="eastAsia"/>
        </w:rPr>
        <w:t>第二章  导师岗位选聘</w:t>
      </w:r>
    </w:p>
    <w:p w14:paraId="3D10F24A">
      <w:pPr>
        <w:pStyle w:val="39"/>
        <w:spacing w:line="520" w:lineRule="exact"/>
        <w:ind w:firstLine="640"/>
      </w:pPr>
      <w:r>
        <w:rPr>
          <w:rFonts w:hint="eastAsia" w:eastAsia="黑体"/>
        </w:rPr>
        <w:t xml:space="preserve">第三条 </w:t>
      </w:r>
      <w:r>
        <w:rPr>
          <w:rFonts w:hint="eastAsia"/>
        </w:rPr>
        <w:t xml:space="preserve"> 基本素质要求</w:t>
      </w:r>
    </w:p>
    <w:p w14:paraId="4E2BE5E3">
      <w:pPr>
        <w:pStyle w:val="39"/>
        <w:spacing w:line="520" w:lineRule="exact"/>
        <w:ind w:firstLine="640"/>
      </w:pPr>
      <w:r>
        <w:rPr>
          <w:rFonts w:hint="eastAsia"/>
        </w:rPr>
        <w:t>（一）过硬的政治素质。坚持正确的政治方向，拥护中国共产党领导，贯彻党的教育方针，自觉维护祖国统一、民族团结，具有高度的政治责任感；坚持正确的育人导向，将思想教育与专业教育有机统一，做研究生成长成才的指导者和引路人。</w:t>
      </w:r>
    </w:p>
    <w:p w14:paraId="051F099D">
      <w:pPr>
        <w:pStyle w:val="39"/>
        <w:spacing w:line="520" w:lineRule="exact"/>
        <w:ind w:firstLine="640"/>
      </w:pPr>
      <w:r>
        <w:rPr>
          <w:rFonts w:hint="eastAsia"/>
        </w:rPr>
        <w:t>（二）高尚的师德师风。落实立德树人职责，模范遵守学术道德规范，为人师表，爱岗敬业；恪守学术诚信，自觉维护公平正义和风清气正的学术环境；尽职尽责，确保足够的时间和精力指导研究生；有仁爱之心，做到以德育人，以文化人。</w:t>
      </w:r>
    </w:p>
    <w:p w14:paraId="12C07ED7">
      <w:pPr>
        <w:pStyle w:val="39"/>
        <w:spacing w:line="520" w:lineRule="exact"/>
        <w:ind w:firstLine="640"/>
      </w:pPr>
      <w:r>
        <w:rPr>
          <w:rFonts w:hint="eastAsia"/>
        </w:rPr>
        <w:t>（三）精湛的业务能力。具有深厚的学术造诣和执着的学术追求，了解学位与研究生教育相关政策；关注学科发展，面向世界科技前沿、面向经济主战场、面向国家重大需求、面向人民生命健康，着力培养研究生创新能力；秉承先进教育理念，遵循研究生教育规律，创新研究生指导方式，潜心研究生培养，坚持因材施教、科学育才。近3年无教学、科研、培养方面的责任事故。</w:t>
      </w:r>
    </w:p>
    <w:p w14:paraId="7DCEB76C">
      <w:pPr>
        <w:pStyle w:val="39"/>
        <w:spacing w:line="520" w:lineRule="exact"/>
        <w:ind w:firstLine="640"/>
      </w:pPr>
      <w:r>
        <w:rPr>
          <w:rFonts w:hint="eastAsia"/>
        </w:rPr>
        <w:t>（四）完善的指导条件。有与申报学科专业研究方向相关且适合研究生培养的科研项目，有可供自主支配的科研经费，能够提供充分的培养支撑条件，承担研究生培养的部分成本，按学校相关规定为研究生发放适当津贴，保障研究生培养质量。专业学位研究生导师应有可供研究生专业实践的场地或基地，有承担产学研合作项目或应用型项目的经历，或有与本学科相关的实践经验（限人文社会科学）。</w:t>
      </w:r>
    </w:p>
    <w:p w14:paraId="7E5FA8B6">
      <w:pPr>
        <w:pStyle w:val="39"/>
        <w:spacing w:line="520" w:lineRule="exact"/>
        <w:ind w:firstLine="640"/>
      </w:pPr>
      <w:r>
        <w:rPr>
          <w:rFonts w:hint="eastAsia" w:eastAsia="黑体"/>
        </w:rPr>
        <w:t xml:space="preserve">第四条 </w:t>
      </w:r>
      <w:r>
        <w:rPr>
          <w:rFonts w:hint="eastAsia"/>
        </w:rPr>
        <w:t xml:space="preserve"> 博士生导师岗位遴选条件</w:t>
      </w:r>
    </w:p>
    <w:p w14:paraId="36D83F56">
      <w:pPr>
        <w:pStyle w:val="39"/>
        <w:spacing w:line="520" w:lineRule="exact"/>
        <w:ind w:firstLine="640"/>
      </w:pPr>
      <w:r>
        <w:rPr>
          <w:rFonts w:hint="eastAsia"/>
        </w:rPr>
        <w:t>（一）具有正高级专业技术职务或具有博士学位、副高级专业技术职务。</w:t>
      </w:r>
    </w:p>
    <w:p w14:paraId="21028B67">
      <w:pPr>
        <w:pStyle w:val="39"/>
        <w:spacing w:line="520" w:lineRule="exact"/>
        <w:ind w:firstLine="640"/>
      </w:pPr>
      <w:r>
        <w:rPr>
          <w:rFonts w:hint="eastAsia"/>
        </w:rPr>
        <w:t>（二）有1年以上协助指导博士研究生的经历，已完整培养过一届硕士研究生（申请学术学位博士生导师岗位者，应已完整培养过一届学术学位硕士研究生）。培养质量良好，近3年在各级硕士学位论文抽检中未出现“存在问题学位论文”。</w:t>
      </w:r>
    </w:p>
    <w:p w14:paraId="79AABAFE">
      <w:pPr>
        <w:pStyle w:val="39"/>
        <w:spacing w:line="520" w:lineRule="exact"/>
        <w:ind w:firstLine="640"/>
      </w:pPr>
      <w:r>
        <w:rPr>
          <w:rFonts w:hint="eastAsia"/>
        </w:rPr>
        <w:t>（三）具有稳定的研究方向，申请学术学位博士生导师岗位者，应有较强的科学研究能力；申请专业学位博士生导师岗位者，应有较强的应用与实践创新能力。近5年科研项目和在所申请学科专业取得的代表性成果，应达到学校规定的具体标准。</w:t>
      </w:r>
    </w:p>
    <w:p w14:paraId="25D4948A">
      <w:pPr>
        <w:pStyle w:val="39"/>
        <w:spacing w:line="520" w:lineRule="exact"/>
        <w:ind w:firstLine="640"/>
      </w:pPr>
      <w:r>
        <w:rPr>
          <w:rFonts w:hint="eastAsia" w:eastAsia="黑体"/>
        </w:rPr>
        <w:t>第五条</w:t>
      </w:r>
      <w:r>
        <w:rPr>
          <w:rFonts w:hint="eastAsia"/>
        </w:rPr>
        <w:t xml:space="preserve">  学术学位硕士生导师岗位遴选条件</w:t>
      </w:r>
    </w:p>
    <w:p w14:paraId="67534C1F">
      <w:pPr>
        <w:pStyle w:val="39"/>
        <w:spacing w:line="520" w:lineRule="exact"/>
        <w:ind w:firstLine="640"/>
      </w:pPr>
      <w:r>
        <w:rPr>
          <w:rFonts w:hint="eastAsia"/>
        </w:rPr>
        <w:t>（一）具有硕士及以上学位、副高级及以上专业技术职务或具有博士学位、中级专业技术职务。</w:t>
      </w:r>
    </w:p>
    <w:p w14:paraId="019C20E0">
      <w:pPr>
        <w:pStyle w:val="39"/>
        <w:spacing w:line="520" w:lineRule="exact"/>
        <w:ind w:firstLine="640"/>
      </w:pPr>
      <w:r>
        <w:rPr>
          <w:rFonts w:hint="eastAsia"/>
        </w:rPr>
        <w:t>（二）有1年以上协助指导学术学位硕士研究生经历。</w:t>
      </w:r>
    </w:p>
    <w:p w14:paraId="5DA5DC28">
      <w:pPr>
        <w:pStyle w:val="39"/>
        <w:spacing w:line="520" w:lineRule="exact"/>
        <w:ind w:firstLine="640"/>
      </w:pPr>
      <w:r>
        <w:rPr>
          <w:rFonts w:hint="eastAsia"/>
        </w:rPr>
        <w:t>（三）具有一定的科学研究能力，近5年科研项目和在所申请学科专业取得的创新性成果，应达到学校规定的具体标准。</w:t>
      </w:r>
    </w:p>
    <w:p w14:paraId="3EFBDFDF">
      <w:pPr>
        <w:pStyle w:val="39"/>
        <w:spacing w:line="520" w:lineRule="exact"/>
        <w:ind w:firstLine="640"/>
      </w:pPr>
      <w:r>
        <w:rPr>
          <w:rFonts w:hint="eastAsia" w:eastAsia="黑体"/>
        </w:rPr>
        <w:t>第六条</w:t>
      </w:r>
      <w:r>
        <w:rPr>
          <w:rFonts w:hint="eastAsia"/>
        </w:rPr>
        <w:t xml:space="preserve">  专业学位硕士生导师岗位遴选条件</w:t>
      </w:r>
    </w:p>
    <w:p w14:paraId="5FC83E2F">
      <w:pPr>
        <w:pStyle w:val="39"/>
        <w:spacing w:line="520" w:lineRule="exact"/>
        <w:ind w:firstLine="640"/>
      </w:pPr>
      <w:r>
        <w:rPr>
          <w:rFonts w:hint="eastAsia"/>
        </w:rPr>
        <w:t>（一）具有硕士及以上学位、副高级及以上专业技术职务或具有博士学位、中级专业技术职务。</w:t>
      </w:r>
    </w:p>
    <w:p w14:paraId="2006788D">
      <w:pPr>
        <w:pStyle w:val="39"/>
        <w:spacing w:line="520" w:lineRule="exact"/>
        <w:ind w:firstLine="640"/>
      </w:pPr>
      <w:r>
        <w:rPr>
          <w:rFonts w:hint="eastAsia"/>
        </w:rPr>
        <w:t>（二）有1年以上相关行业工作或科研实践经历，且有协助指导专业学位硕士研究生经历。</w:t>
      </w:r>
    </w:p>
    <w:p w14:paraId="334B8D25">
      <w:pPr>
        <w:pStyle w:val="39"/>
        <w:spacing w:line="520" w:lineRule="exact"/>
        <w:ind w:firstLine="640"/>
      </w:pPr>
      <w:r>
        <w:rPr>
          <w:rFonts w:hint="eastAsia"/>
        </w:rPr>
        <w:t>（三）具有一定的科学研究和实践指导能力，近5年科研项目和在所申请学科专业取得的成果，应达到学校规定的具体标准。</w:t>
      </w:r>
    </w:p>
    <w:p w14:paraId="747288B3">
      <w:pPr>
        <w:pStyle w:val="39"/>
        <w:spacing w:line="520" w:lineRule="exact"/>
        <w:ind w:firstLine="640"/>
      </w:pPr>
      <w:r>
        <w:rPr>
          <w:rFonts w:hint="eastAsia" w:eastAsia="黑体"/>
        </w:rPr>
        <w:t>第七条</w:t>
      </w:r>
      <w:r>
        <w:rPr>
          <w:rFonts w:hint="eastAsia"/>
        </w:rPr>
        <w:t xml:space="preserve">  专业学位研究生行业导师岗位聘任条件</w:t>
      </w:r>
    </w:p>
    <w:p w14:paraId="68F32712">
      <w:pPr>
        <w:pStyle w:val="39"/>
        <w:spacing w:line="520" w:lineRule="exact"/>
        <w:ind w:firstLine="640"/>
      </w:pPr>
      <w:r>
        <w:rPr>
          <w:rFonts w:hint="eastAsia"/>
        </w:rPr>
        <w:t>专业学位研究生行业导师主要指根据专业学位研究生培养工作的要求而在校外单位中选聘的人员，负责指导研究生在基地的专业实践，培养研究生应用所学知识解决实际问题的能力，以及对其进行论文选题与学位论文实践部分的指导等，具体条件如下：</w:t>
      </w:r>
    </w:p>
    <w:p w14:paraId="532EDB0B">
      <w:pPr>
        <w:pStyle w:val="39"/>
        <w:spacing w:line="520" w:lineRule="exact"/>
        <w:ind w:firstLine="640"/>
      </w:pPr>
      <w:r>
        <w:rPr>
          <w:rFonts w:hint="eastAsia"/>
        </w:rPr>
        <w:t>（一）博士生行业导师：具有正高级专业技术职务，或机关企事业单位高层管理职务，或博士学位、副高级专业技术职务；硕士生行业导师：具有副高级及以上专业技术职务，或机关企事业单位中层及以上管理职务，或高级行业资格证书，或硕士及以上学位、中级专业技术职务。</w:t>
      </w:r>
    </w:p>
    <w:p w14:paraId="4796185A">
      <w:pPr>
        <w:pStyle w:val="39"/>
        <w:spacing w:line="520" w:lineRule="exact"/>
        <w:ind w:firstLine="640"/>
      </w:pPr>
      <w:r>
        <w:rPr>
          <w:rFonts w:hint="eastAsia"/>
        </w:rPr>
        <w:t>（二）在相关学科专业至少有5年的工作实践经验，工作业绩突出，具备一定的指导与研究能力。</w:t>
      </w:r>
    </w:p>
    <w:p w14:paraId="643108FD">
      <w:pPr>
        <w:pStyle w:val="39"/>
        <w:spacing w:line="520" w:lineRule="exact"/>
        <w:ind w:firstLine="640"/>
      </w:pPr>
      <w:r>
        <w:rPr>
          <w:rFonts w:hint="eastAsia"/>
        </w:rPr>
        <w:t>（三）得到所在工作单位同意，且所在工作单位一般应为我校研究生的实践基地或与聘请单位有密切的科研及人才培养合作关系。</w:t>
      </w:r>
    </w:p>
    <w:p w14:paraId="4832B903">
      <w:pPr>
        <w:pStyle w:val="39"/>
        <w:spacing w:line="520" w:lineRule="exact"/>
        <w:ind w:firstLine="640"/>
      </w:pPr>
      <w:r>
        <w:rPr>
          <w:rFonts w:hint="eastAsia"/>
        </w:rPr>
        <w:t>（四）近5年科研项目和在所申请学科专业取得的成果，应达到学校规定的具体标准。院聘硕士生行业导师的科研项目和成果标准由学院、学科自行制定，报研究生处备案后执行。</w:t>
      </w:r>
    </w:p>
    <w:p w14:paraId="5CF07F88">
      <w:pPr>
        <w:pStyle w:val="39"/>
        <w:spacing w:line="520" w:lineRule="exact"/>
        <w:ind w:firstLine="640"/>
      </w:pPr>
      <w:r>
        <w:rPr>
          <w:rFonts w:hint="eastAsia" w:eastAsia="黑体"/>
        </w:rPr>
        <w:t xml:space="preserve">第八条 </w:t>
      </w:r>
      <w:r>
        <w:rPr>
          <w:rFonts w:hint="eastAsia"/>
        </w:rPr>
        <w:t xml:space="preserve"> 学校引进的高层次人才及调入人员</w:t>
      </w:r>
    </w:p>
    <w:p w14:paraId="11595D46">
      <w:pPr>
        <w:pStyle w:val="39"/>
        <w:spacing w:line="520" w:lineRule="exact"/>
        <w:ind w:firstLine="640"/>
      </w:pPr>
      <w:r>
        <w:rPr>
          <w:rFonts w:hint="eastAsia"/>
        </w:rPr>
        <w:t>（一）学校引进的高层次人才，聘期内经申请学科专业所在单位学位评定分委员会评审通过并报校学位评定委员会批准，可直接被认定为相关学科硕士生导师。</w:t>
      </w:r>
    </w:p>
    <w:p w14:paraId="2C5C0A3E">
      <w:pPr>
        <w:pStyle w:val="39"/>
        <w:spacing w:line="520" w:lineRule="exact"/>
        <w:ind w:firstLine="640"/>
      </w:pPr>
      <w:r>
        <w:rPr>
          <w:rFonts w:hint="eastAsia"/>
        </w:rPr>
        <w:t>（二）调入人员在原单位已评定为研究生导师，且满足学校对应层次及学科研究生导师岗位条件，经申请学科专业所在单位学位评定分委员会评审通过并报校学位评定委员会批准，可直接被认定为对应层次及学科研究生导师。</w:t>
      </w:r>
    </w:p>
    <w:p w14:paraId="6201AEC2">
      <w:pPr>
        <w:pStyle w:val="39"/>
        <w:spacing w:line="520" w:lineRule="exact"/>
        <w:ind w:firstLine="640"/>
        <w:rPr>
          <w:rFonts w:eastAsia="黑体"/>
        </w:rPr>
      </w:pPr>
      <w:r>
        <w:rPr>
          <w:rFonts w:hint="eastAsia" w:eastAsia="黑体"/>
        </w:rPr>
        <w:t xml:space="preserve">第九条  </w:t>
      </w:r>
      <w:r>
        <w:rPr>
          <w:rFonts w:hint="eastAsia"/>
        </w:rPr>
        <w:t>校外兼职导师主要指人事关系不属于我校，因学科建设与研究生培养需要，以及推进高层次人才培养国际化而选聘的校外单位人员，选聘条件和校内导师一致。与学校有密切科研及人才培养合作关系的校外单位人员，达到我校相应导师岗位聘任标准，可申报我校兼职导师岗位，与校内导师合作指导研究生。</w:t>
      </w:r>
    </w:p>
    <w:p w14:paraId="759A3831">
      <w:pPr>
        <w:pStyle w:val="39"/>
        <w:spacing w:line="520" w:lineRule="exact"/>
        <w:ind w:firstLine="640"/>
      </w:pPr>
      <w:r>
        <w:rPr>
          <w:rFonts w:hint="eastAsia" w:eastAsia="黑体"/>
        </w:rPr>
        <w:t>第十条</w:t>
      </w:r>
      <w:r>
        <w:rPr>
          <w:rFonts w:hint="eastAsia"/>
        </w:rPr>
        <w:t xml:space="preserve">  校内导师岗位遴选程序</w:t>
      </w:r>
    </w:p>
    <w:p w14:paraId="386AA956">
      <w:pPr>
        <w:pStyle w:val="39"/>
        <w:spacing w:line="520" w:lineRule="exact"/>
        <w:ind w:firstLine="640"/>
      </w:pPr>
      <w:r>
        <w:rPr>
          <w:rFonts w:hint="eastAsia"/>
        </w:rPr>
        <w:t>（一）个人申请。申请人向申请学科专业所在培养单位提交导师岗位申请。跨单位申报者，需征得人事或劳动关系所在单位同意。</w:t>
      </w:r>
    </w:p>
    <w:p w14:paraId="6EEF13B1">
      <w:pPr>
        <w:pStyle w:val="39"/>
        <w:spacing w:line="520" w:lineRule="exact"/>
        <w:ind w:firstLine="640"/>
      </w:pPr>
      <w:r>
        <w:rPr>
          <w:rFonts w:hint="eastAsia"/>
        </w:rPr>
        <w:t>（二）单位初审</w:t>
      </w:r>
    </w:p>
    <w:p w14:paraId="64D36A21">
      <w:pPr>
        <w:pStyle w:val="39"/>
        <w:spacing w:line="520" w:lineRule="exact"/>
        <w:ind w:firstLine="640"/>
      </w:pPr>
      <w:r>
        <w:rPr>
          <w:rFonts w:hint="eastAsia"/>
        </w:rPr>
        <w:t xml:space="preserve">1.思想政治和师德师风考察。申请人所在单位党组织对申请人进行思想政治和师德师风考察，对师德失范行为零容忍，形成综合考察意见，明确是否同意申报。 </w:t>
      </w:r>
    </w:p>
    <w:p w14:paraId="1D9B6582">
      <w:pPr>
        <w:pStyle w:val="39"/>
        <w:spacing w:line="520" w:lineRule="exact"/>
        <w:ind w:firstLine="640"/>
      </w:pPr>
      <w:r>
        <w:rPr>
          <w:rFonts w:hint="eastAsia"/>
        </w:rPr>
        <w:t>2.申请条件核查。申请学科专业所在单位对照导师岗位基本素质要求和遴选条件，审核申请人的申报材料，经学科负责人复核后，提交申请学科专业所在单位学位评定分委员会评审。</w:t>
      </w:r>
    </w:p>
    <w:p w14:paraId="6D91E6D1">
      <w:pPr>
        <w:pStyle w:val="39"/>
        <w:spacing w:line="520" w:lineRule="exact"/>
        <w:ind w:firstLine="640"/>
      </w:pPr>
      <w:r>
        <w:rPr>
          <w:rFonts w:hint="eastAsia"/>
        </w:rPr>
        <w:t>（三）学位评定分委员会评审</w:t>
      </w:r>
    </w:p>
    <w:p w14:paraId="1150E1C8">
      <w:pPr>
        <w:pStyle w:val="39"/>
        <w:spacing w:line="520" w:lineRule="exact"/>
        <w:ind w:firstLine="640"/>
      </w:pPr>
      <w:r>
        <w:rPr>
          <w:rFonts w:hint="eastAsia"/>
        </w:rPr>
        <w:t>申请学科专业所在单位学位评定分委员会召开全体委员会议，根据学科专业建设发展需要，对申请人的基本素质、创新能力、学术水平、科研能力、研究生培养条件及质量等进行综合评议，确定导师岗位推荐人员名单，公示5个工作日后，将公示无异议人员名单提交校学位评定委员会审议。</w:t>
      </w:r>
    </w:p>
    <w:p w14:paraId="66F260E3">
      <w:pPr>
        <w:pStyle w:val="39"/>
        <w:spacing w:line="520" w:lineRule="exact"/>
        <w:ind w:firstLine="640"/>
      </w:pPr>
      <w:r>
        <w:rPr>
          <w:rFonts w:hint="eastAsia"/>
        </w:rPr>
        <w:t>（四）校学位评定委员会审议。校学位评定委员会召开会议，审议批准校内导师岗位聘任人员名单，由学校颁发聘书。</w:t>
      </w:r>
    </w:p>
    <w:p w14:paraId="7B7BDD3F">
      <w:pPr>
        <w:pStyle w:val="39"/>
        <w:spacing w:line="520" w:lineRule="exact"/>
        <w:ind w:firstLine="640"/>
      </w:pPr>
      <w:r>
        <w:rPr>
          <w:rFonts w:hint="eastAsia" w:eastAsia="黑体"/>
        </w:rPr>
        <w:t>第十一条</w:t>
      </w:r>
      <w:r>
        <w:rPr>
          <w:rFonts w:hint="eastAsia"/>
        </w:rPr>
        <w:t xml:space="preserve">  校外导师岗位聘任程序</w:t>
      </w:r>
    </w:p>
    <w:p w14:paraId="59E3B298">
      <w:pPr>
        <w:pStyle w:val="39"/>
        <w:spacing w:line="520" w:lineRule="exact"/>
        <w:ind w:firstLine="640"/>
      </w:pPr>
      <w:r>
        <w:rPr>
          <w:rFonts w:hint="eastAsia"/>
        </w:rPr>
        <w:t>（一）个人申请。申请人向申请学科专业所在培养单位提交导师岗位申请。</w:t>
      </w:r>
    </w:p>
    <w:p w14:paraId="0F47630A">
      <w:pPr>
        <w:pStyle w:val="39"/>
        <w:spacing w:line="520" w:lineRule="exact"/>
        <w:ind w:firstLine="640"/>
      </w:pPr>
      <w:r>
        <w:rPr>
          <w:rFonts w:hint="eastAsia"/>
        </w:rPr>
        <w:t>（二）思想政治素质和申请资格审核。申请学科专业所在单位根据申请人工作单位意见和申请人提交材料，对照导师岗位基本素质要求和选聘条件进行审核，经学科负责人复核后，提交申请学科专业所在单位学位评定分委员会评审。</w:t>
      </w:r>
    </w:p>
    <w:p w14:paraId="40AF26BD">
      <w:pPr>
        <w:pStyle w:val="39"/>
        <w:spacing w:line="520" w:lineRule="exact"/>
        <w:ind w:firstLine="640"/>
      </w:pPr>
      <w:r>
        <w:rPr>
          <w:rFonts w:hint="eastAsia"/>
        </w:rPr>
        <w:t>（三）学位评定分委员会评审。申请学科专业所在单位学位评定分委员会，根据申请人在该学科专业的研究成果、科研与创新能力、学术水平、实践能力、培养条件等进行综合评议，确定导师岗位推荐人员名单，结果须公示5个工作日。公示无异议后，申请院聘专业学位硕士生行业导师岗位的，相关培养单位为其颁发聘书，名单报研究生处备案。申请其他导师岗位的，培养单位将名单提交校学位评定委员会审议。</w:t>
      </w:r>
    </w:p>
    <w:p w14:paraId="1A6DEBAA">
      <w:pPr>
        <w:pStyle w:val="39"/>
        <w:spacing w:line="520" w:lineRule="exact"/>
        <w:ind w:firstLine="640"/>
      </w:pPr>
      <w:r>
        <w:rPr>
          <w:rFonts w:hint="eastAsia"/>
        </w:rPr>
        <w:t>（四）校学位评定委员会审议。校学位评定委员会召开会议，审议批准校外导师岗位人员名单，由学校颁发聘书。</w:t>
      </w:r>
    </w:p>
    <w:p w14:paraId="05F6ABC8">
      <w:pPr>
        <w:pStyle w:val="39"/>
        <w:spacing w:line="520" w:lineRule="exact"/>
        <w:ind w:firstLine="640"/>
      </w:pPr>
      <w:r>
        <w:rPr>
          <w:rFonts w:hint="eastAsia"/>
        </w:rPr>
        <w:t>聘任为我校校外导师岗位的人员，须与相关培养单位签订聘任协议，明确权利义务关系及其他有关事宜。因工作岗位变动、或因故不能履行指导研究生职责的校外导师，由培养单位按聘任协议约定程序和方式终止聘任，同时报研究生处备案。培养单位应制定具体的校外导师岗前培训方案，建立淘汰机制。</w:t>
      </w:r>
    </w:p>
    <w:p w14:paraId="6328D505">
      <w:pPr>
        <w:pStyle w:val="39"/>
        <w:spacing w:line="520" w:lineRule="exact"/>
        <w:ind w:firstLine="640"/>
      </w:pPr>
      <w:r>
        <w:rPr>
          <w:rFonts w:hint="eastAsia" w:eastAsia="黑体"/>
        </w:rPr>
        <w:t>第十二条</w:t>
      </w:r>
      <w:r>
        <w:rPr>
          <w:rFonts w:hint="eastAsia"/>
        </w:rPr>
        <w:t xml:space="preserve">  研究生导师岗位选聘应以各学科专业研究生教育需要为前提，根据各学科专业招生计划、培养方案和导师梯队建设的要求，一般每年进行1-2次。</w:t>
      </w:r>
    </w:p>
    <w:p w14:paraId="308117F4">
      <w:pPr>
        <w:pStyle w:val="39"/>
        <w:spacing w:line="520" w:lineRule="exact"/>
        <w:ind w:firstLine="640"/>
      </w:pPr>
      <w:r>
        <w:rPr>
          <w:rFonts w:hint="eastAsia" w:eastAsia="黑体"/>
        </w:rPr>
        <w:t xml:space="preserve">第十三条 </w:t>
      </w:r>
      <w:r>
        <w:rPr>
          <w:rFonts w:hint="eastAsia"/>
        </w:rPr>
        <w:t xml:space="preserve"> 跨培养单位导师岗位申请者，经审批备案后，由跨入单位在网站上公布招生信息。招生复试工作由跨入单位组织，跨单位招生指标及相关经费由导师人事或劳动关系所在单位负责。若跨入单位特别聘请其他单位导师在本单位招生，经协商后，招生指标及相关经费可由跨入单位负责。</w:t>
      </w:r>
    </w:p>
    <w:p w14:paraId="6380BE23">
      <w:pPr>
        <w:pStyle w:val="39"/>
        <w:spacing w:line="520" w:lineRule="exact"/>
        <w:ind w:firstLine="640"/>
      </w:pPr>
      <w:r>
        <w:rPr>
          <w:rFonts w:hint="eastAsia" w:eastAsia="黑体"/>
        </w:rPr>
        <w:t>第十四条</w:t>
      </w:r>
      <w:r>
        <w:rPr>
          <w:rFonts w:hint="eastAsia"/>
        </w:rPr>
        <w:t xml:space="preserve">  跨培养单位招收的研究生，其报到、注册、学籍、学生管理等工作由跨入单位负责。导师依据跨入单位研究生培养方案，指导跨单位招收的研究生制定培养计划，按该单位要求进行培养。跨单位招收的研究生，其学位论文答辩委员会主要由跨入单位专家组成，其学位审核由跨入单位学位评定分委员会负责。</w:t>
      </w:r>
    </w:p>
    <w:p w14:paraId="5D0B1E07">
      <w:pPr>
        <w:pStyle w:val="41"/>
        <w:spacing w:before="381" w:after="381"/>
      </w:pPr>
      <w:r>
        <w:rPr>
          <w:rFonts w:hint="eastAsia"/>
        </w:rPr>
        <w:t>第三章  年度招生资格申请审核</w:t>
      </w:r>
    </w:p>
    <w:p w14:paraId="0E8BE02B">
      <w:pPr>
        <w:pStyle w:val="39"/>
        <w:spacing w:line="520" w:lineRule="exact"/>
        <w:ind w:firstLine="640"/>
      </w:pPr>
      <w:r>
        <w:rPr>
          <w:rFonts w:hint="eastAsia" w:eastAsia="黑体"/>
        </w:rPr>
        <w:t>第十五条</w:t>
      </w:r>
      <w:r>
        <w:rPr>
          <w:rFonts w:hint="eastAsia"/>
        </w:rPr>
        <w:t xml:space="preserve">  申请年度招生资格的基本条件</w:t>
      </w:r>
    </w:p>
    <w:p w14:paraId="27237B22">
      <w:pPr>
        <w:pStyle w:val="39"/>
        <w:spacing w:line="520" w:lineRule="exact"/>
        <w:ind w:firstLine="640"/>
      </w:pPr>
      <w:r>
        <w:rPr>
          <w:rFonts w:hint="eastAsia"/>
        </w:rPr>
        <w:t>（一）聘任在岗的导师，身体健康，能胜任指导研究生学习和研究工作，在退休前至少能完成一届研究生的指导。</w:t>
      </w:r>
    </w:p>
    <w:p w14:paraId="173792F5">
      <w:pPr>
        <w:pStyle w:val="39"/>
        <w:spacing w:line="520" w:lineRule="exact"/>
        <w:ind w:firstLine="640"/>
      </w:pPr>
      <w:r>
        <w:rPr>
          <w:rFonts w:hint="eastAsia"/>
        </w:rPr>
        <w:t>（二）申请人的科研项目经费须满足以下最低要求：</w:t>
      </w:r>
    </w:p>
    <w:p w14:paraId="4A0D7F0B">
      <w:pPr>
        <w:pStyle w:val="39"/>
        <w:spacing w:line="520" w:lineRule="exact"/>
        <w:ind w:firstLine="640"/>
      </w:pPr>
      <w:r>
        <w:rPr>
          <w:rFonts w:hint="eastAsia"/>
        </w:rPr>
        <w:t>1.申请学术学位博士生导师年度招生资格：近3年，年均到账纵向科研经费自然科学类不低于15万元、人文社科类不低于5万元。招生当年有在研科研项目且有可支配经费。</w:t>
      </w:r>
    </w:p>
    <w:p w14:paraId="02CFB220">
      <w:pPr>
        <w:pStyle w:val="39"/>
        <w:spacing w:line="520" w:lineRule="exact"/>
        <w:ind w:firstLine="640"/>
      </w:pPr>
      <w:r>
        <w:rPr>
          <w:rFonts w:hint="eastAsia"/>
        </w:rPr>
        <w:t>2.申请专业学位博士生导师年度招生资格：近3年，年均到账纵向科研经费15万元以上或主持横向科研项目且年均到账横向科研经费20万元及以上。招生当年有在研科研项目且有可支配经费。</w:t>
      </w:r>
    </w:p>
    <w:p w14:paraId="74F12307">
      <w:pPr>
        <w:pStyle w:val="39"/>
        <w:spacing w:line="520" w:lineRule="exact"/>
        <w:ind w:firstLine="640"/>
      </w:pPr>
      <w:r>
        <w:rPr>
          <w:rFonts w:hint="eastAsia"/>
        </w:rPr>
        <w:t>3.申请硕士生导师年度招生资格：近</w:t>
      </w:r>
      <w:r>
        <w:t>3</w:t>
      </w:r>
      <w:r>
        <w:rPr>
          <w:rFonts w:hint="eastAsia"/>
        </w:rPr>
        <w:t>年，年均到账纵向科研经费自然科学类不低于5万元、人文社科类不低于2万元或主持横向科研项目且年均到账横向科研经费5万元及以上。招生当年有在研科研项目且有可支配经费。</w:t>
      </w:r>
    </w:p>
    <w:p w14:paraId="61D9C698">
      <w:pPr>
        <w:pStyle w:val="39"/>
        <w:spacing w:line="520" w:lineRule="exact"/>
        <w:ind w:firstLine="640"/>
      </w:pPr>
      <w:r>
        <w:rPr>
          <w:rFonts w:hint="eastAsia"/>
        </w:rPr>
        <w:t>4.学校调入人员及引进的高层次人才，调入或聘用前3年申请年度招生资格，可免除上述科研项目经费要求，但招生当年应有在研科研项目和可支配经费。</w:t>
      </w:r>
    </w:p>
    <w:p w14:paraId="7AA49A25">
      <w:pPr>
        <w:pStyle w:val="39"/>
        <w:spacing w:line="520" w:lineRule="exact"/>
        <w:ind w:firstLine="640"/>
      </w:pPr>
      <w:r>
        <w:rPr>
          <w:rFonts w:hint="eastAsia" w:eastAsia="黑体"/>
        </w:rPr>
        <w:t>第十六条</w:t>
      </w:r>
      <w:r>
        <w:rPr>
          <w:rFonts w:hint="eastAsia"/>
        </w:rPr>
        <w:t xml:space="preserve">  各培养单位应依据学科建设、科学研究任务、研究生招生规模等，制定不低于学校标准的年度招生资格申请条件和具体审核办法，将思想政治、师德师风、人才培养质量、导师履职情况、科研项目、创新型成果、在读研究生人数、培训情况等作为考核的重要指标。</w:t>
      </w:r>
    </w:p>
    <w:p w14:paraId="17BA70FC">
      <w:pPr>
        <w:pStyle w:val="39"/>
        <w:spacing w:line="520" w:lineRule="exact"/>
        <w:ind w:firstLine="640"/>
      </w:pPr>
      <w:r>
        <w:rPr>
          <w:rFonts w:hint="eastAsia" w:eastAsia="黑体"/>
        </w:rPr>
        <w:t>第十七条</w:t>
      </w:r>
      <w:r>
        <w:rPr>
          <w:rFonts w:hint="eastAsia"/>
        </w:rPr>
        <w:t xml:space="preserve">  研究生导师指导的在读全日制博士研究生原则上不超过6名，在读全日制硕士研究生原则上不超过12名。在读研究生人数超过规定限额者，学校一般不接受其对应层次的年度招生资格申请。国家级人才聘期内和T类科研项目主持期内，导师指导的在读研究生人数可适当增加。</w:t>
      </w:r>
    </w:p>
    <w:p w14:paraId="668D2A9E">
      <w:pPr>
        <w:pStyle w:val="39"/>
        <w:spacing w:line="520" w:lineRule="exact"/>
        <w:ind w:firstLine="640"/>
      </w:pPr>
      <w:r>
        <w:rPr>
          <w:rFonts w:hint="eastAsia" w:eastAsia="黑体"/>
        </w:rPr>
        <w:t xml:space="preserve">第十八条 </w:t>
      </w:r>
      <w:r>
        <w:rPr>
          <w:rFonts w:hint="eastAsia"/>
        </w:rPr>
        <w:t xml:space="preserve"> 年度招生资格申请的招生层次、类别和专业，原则上应与研究生导师岗位选聘时批准的层次、类别和专业一致。不一致但层次相同、专业相近，且确因工作需要，变更或增加不同招生专业者，经本人所在单位及现招生专业所在单位同意后，可向新专业所在单位提出申请。受理单位学位评定分委员会经评审，同意认定其招生资格并报研究生处备案后，申请人方可调整招生专业。博士生导师可申请同一类别、学科专业硕士研究生年度招生资格。</w:t>
      </w:r>
    </w:p>
    <w:p w14:paraId="50A8DCA5">
      <w:pPr>
        <w:pStyle w:val="39"/>
        <w:spacing w:line="520" w:lineRule="exact"/>
        <w:ind w:firstLine="640"/>
      </w:pPr>
      <w:r>
        <w:rPr>
          <w:rFonts w:hint="eastAsia" w:eastAsia="黑体"/>
        </w:rPr>
        <w:t>第十九条</w:t>
      </w:r>
      <w:r>
        <w:rPr>
          <w:rFonts w:hint="eastAsia"/>
        </w:rPr>
        <w:t xml:space="preserve">  鼓励组建研究生导师团队，加强研究生培养指导。导师团队应实行民主集中制，坚持学术自由、学术平等的原则，发挥集体优势。第一导师在研究生培养过程中负首要责任，其他成员协助第一导师开展研究生培养指导。</w:t>
      </w:r>
    </w:p>
    <w:p w14:paraId="79257955">
      <w:pPr>
        <w:pStyle w:val="39"/>
        <w:spacing w:line="520" w:lineRule="exact"/>
        <w:ind w:firstLine="640"/>
      </w:pPr>
      <w:r>
        <w:rPr>
          <w:rFonts w:hint="eastAsia" w:eastAsia="黑体"/>
        </w:rPr>
        <w:t>第二十条</w:t>
      </w:r>
      <w:r>
        <w:rPr>
          <w:rFonts w:hint="eastAsia"/>
        </w:rPr>
        <w:t xml:space="preserve">  年度招生资格申请审核程序</w:t>
      </w:r>
    </w:p>
    <w:p w14:paraId="2DACB874">
      <w:pPr>
        <w:pStyle w:val="39"/>
        <w:spacing w:line="520" w:lineRule="exact"/>
        <w:ind w:firstLine="640"/>
      </w:pPr>
      <w:r>
        <w:rPr>
          <w:rFonts w:hint="eastAsia"/>
        </w:rPr>
        <w:t>（一）个人申请。符合申请条件人员向招生单位提交年度招生资格申请。</w:t>
      </w:r>
    </w:p>
    <w:p w14:paraId="562CF64F">
      <w:pPr>
        <w:pStyle w:val="39"/>
        <w:spacing w:line="520" w:lineRule="exact"/>
        <w:ind w:firstLine="640"/>
      </w:pPr>
      <w:r>
        <w:rPr>
          <w:rFonts w:hint="eastAsia"/>
        </w:rPr>
        <w:t>（二）师德师风审查。申请人工作单位党组织负责开展师德师风审查，对师德失范行为零容忍。</w:t>
      </w:r>
    </w:p>
    <w:p w14:paraId="15F20912">
      <w:pPr>
        <w:pStyle w:val="39"/>
        <w:spacing w:line="520" w:lineRule="exact"/>
        <w:ind w:firstLine="640"/>
      </w:pPr>
      <w:r>
        <w:rPr>
          <w:rFonts w:hint="eastAsia"/>
        </w:rPr>
        <w:t>（三）招生单位审核。招生单位根据本单位研究生导师年度招生资格申请条件和审核办法，结合学校核定的年度招生计划和申请人科研项目、在校经费、在读研究生人数、参加培训情况、履职负面清单等，对申请人进行年度招生资格审核，确定申请人的招生资格、招生类别和招生计划。</w:t>
      </w:r>
    </w:p>
    <w:p w14:paraId="0152BF40">
      <w:pPr>
        <w:pStyle w:val="39"/>
        <w:spacing w:line="520" w:lineRule="exact"/>
        <w:ind w:firstLine="640"/>
      </w:pPr>
      <w:r>
        <w:rPr>
          <w:rFonts w:hint="eastAsia"/>
        </w:rPr>
        <w:t>招生单位年度招生资格审核结果须公示5个工作日。公示期内，各单位受理有关审核结果的异议，负责解释工作。</w:t>
      </w:r>
    </w:p>
    <w:p w14:paraId="5E7FA735">
      <w:pPr>
        <w:pStyle w:val="39"/>
        <w:spacing w:line="520" w:lineRule="exact"/>
        <w:ind w:firstLine="640"/>
      </w:pPr>
      <w:r>
        <w:rPr>
          <w:rFonts w:hint="eastAsia"/>
        </w:rPr>
        <w:t>（四）研究生处复核。研究生处对招生单位审核通过的研究生导师年度招生资格获得人员进行复核，复核通过人员进入年度研究生招生章程和招生导师库。</w:t>
      </w:r>
    </w:p>
    <w:p w14:paraId="623E757E">
      <w:pPr>
        <w:pStyle w:val="41"/>
        <w:spacing w:before="381" w:after="381"/>
      </w:pPr>
      <w:r>
        <w:rPr>
          <w:rFonts w:hint="eastAsia"/>
        </w:rPr>
        <w:t>第四章  导师岗位管理</w:t>
      </w:r>
    </w:p>
    <w:p w14:paraId="112E54E4">
      <w:pPr>
        <w:pStyle w:val="39"/>
        <w:spacing w:line="520" w:lineRule="exact"/>
        <w:ind w:firstLine="640"/>
      </w:pPr>
      <w:r>
        <w:rPr>
          <w:rFonts w:hint="eastAsia" w:eastAsia="黑体"/>
        </w:rPr>
        <w:t>第二十一条</w:t>
      </w:r>
      <w:r>
        <w:rPr>
          <w:rFonts w:hint="eastAsia"/>
        </w:rPr>
        <w:t xml:space="preserve">  导师岗位考核</w:t>
      </w:r>
    </w:p>
    <w:p w14:paraId="397B7ACE">
      <w:pPr>
        <w:pStyle w:val="39"/>
        <w:spacing w:line="520" w:lineRule="exact"/>
        <w:ind w:firstLine="640"/>
      </w:pPr>
      <w:r>
        <w:rPr>
          <w:rFonts w:hint="eastAsia"/>
        </w:rPr>
        <w:t>学校实行导师岗位动态管理制度，考核工作由各培养单位负责具体实施，制定具体的考核标准和考核程序。</w:t>
      </w:r>
    </w:p>
    <w:p w14:paraId="512311B8">
      <w:pPr>
        <w:pStyle w:val="39"/>
        <w:spacing w:line="520" w:lineRule="exact"/>
        <w:ind w:firstLine="640"/>
      </w:pPr>
      <w:r>
        <w:rPr>
          <w:rFonts w:hint="eastAsia"/>
        </w:rPr>
        <w:t>（一）校内导师岗位年度考核。培养单位每年对在岗校内导师的教学科研、研究生培养和学位论文质量等进行考核评估，建立履职负面清单。</w:t>
      </w:r>
    </w:p>
    <w:p w14:paraId="496B945D">
      <w:pPr>
        <w:pStyle w:val="39"/>
        <w:spacing w:line="520" w:lineRule="exact"/>
        <w:ind w:firstLine="640"/>
      </w:pPr>
      <w:r>
        <w:rPr>
          <w:rFonts w:hint="eastAsia"/>
        </w:rPr>
        <w:t>（二）校外导师岗位年度考核。培养单位每年会同校外导师工作单位对校外导师进行考核，考核内容包括职业道德、指导研究生的履职情况、工作成效等，建立校外导师年度考核档案。</w:t>
      </w:r>
    </w:p>
    <w:p w14:paraId="3F27896E">
      <w:pPr>
        <w:pStyle w:val="39"/>
        <w:spacing w:line="520" w:lineRule="exact"/>
        <w:ind w:firstLine="640"/>
      </w:pPr>
      <w:r>
        <w:rPr>
          <w:rFonts w:hint="eastAsia"/>
        </w:rPr>
        <w:t>（三）校外导师岗位聘期综合考核。校外导师聘期为指导一届研究生，聘期结束前，培养单位应结合年度考核档案，综合考核其立德树人成效与履职尽责情况。根据工作需要和导师个人意愿，决定是否提请续聘。聘期综合考核合格且续聘申请经学位评定分委员会审核通过的导师，可以续聘。聘期综合考核不合格、学位评定分委员会审核未通过，或未进行综合考核，未履行续聘审核程序的，聘期结束时自动解聘。考核与续聘结果报研究生处备案。</w:t>
      </w:r>
    </w:p>
    <w:p w14:paraId="6AD00C09">
      <w:pPr>
        <w:pStyle w:val="39"/>
        <w:spacing w:line="520" w:lineRule="exact"/>
        <w:ind w:firstLine="640"/>
      </w:pPr>
      <w:r>
        <w:rPr>
          <w:rFonts w:hint="eastAsia"/>
        </w:rPr>
        <w:t>（四）导师岗位表彰。学校对认真履行职责、研究生培养成效显著、同行和研究生认可的导师（团队）予以表彰，并采取多种形式对先进集体和个人事迹进行宣传；对指导的研究生学位论文被评为优秀学位论文的导师，予以表彰奖励。</w:t>
      </w:r>
    </w:p>
    <w:p w14:paraId="4A6AB59F">
      <w:pPr>
        <w:pStyle w:val="39"/>
        <w:spacing w:line="520" w:lineRule="exact"/>
        <w:ind w:firstLine="640"/>
      </w:pPr>
      <w:r>
        <w:rPr>
          <w:rFonts w:hint="eastAsia" w:eastAsia="黑体"/>
        </w:rPr>
        <w:t>第二十二条</w:t>
      </w:r>
      <w:r>
        <w:rPr>
          <w:rFonts w:hint="eastAsia"/>
        </w:rPr>
        <w:t xml:space="preserve">  导师变更</w:t>
      </w:r>
    </w:p>
    <w:p w14:paraId="7AC67471">
      <w:pPr>
        <w:pStyle w:val="39"/>
        <w:spacing w:line="520" w:lineRule="exact"/>
        <w:ind w:firstLine="640"/>
      </w:pPr>
      <w:r>
        <w:rPr>
          <w:rFonts w:hint="eastAsia"/>
        </w:rPr>
        <w:t>研究生培养过程中原则上不变更导师。符合以下情况者，由培养单位负责调整或暂时变更导师：</w:t>
      </w:r>
    </w:p>
    <w:p w14:paraId="2A6E1188">
      <w:pPr>
        <w:pStyle w:val="39"/>
        <w:spacing w:line="520" w:lineRule="exact"/>
        <w:ind w:firstLine="640"/>
      </w:pPr>
      <w:r>
        <w:rPr>
          <w:rFonts w:hint="eastAsia"/>
        </w:rPr>
        <w:t>（一）短期（6个月内）不能指导研究生的导师，应妥善安排并落实本人离岗期间研究生的培养指导和日常管理，报培养单位备案。</w:t>
      </w:r>
    </w:p>
    <w:p w14:paraId="5BA35942">
      <w:pPr>
        <w:pStyle w:val="39"/>
        <w:spacing w:line="520" w:lineRule="exact"/>
        <w:ind w:firstLine="640"/>
      </w:pPr>
      <w:r>
        <w:rPr>
          <w:rFonts w:hint="eastAsia"/>
        </w:rPr>
        <w:t>（二）离岗6个月及以上不满1年者，导师协调同学科专业导师负责研究生的培养指导和日常管理工作，报培养单位备案。</w:t>
      </w:r>
    </w:p>
    <w:p w14:paraId="24A4246D">
      <w:pPr>
        <w:pStyle w:val="39"/>
        <w:spacing w:line="520" w:lineRule="exact"/>
        <w:ind w:firstLine="640"/>
      </w:pPr>
      <w:r>
        <w:rPr>
          <w:rFonts w:hint="eastAsia"/>
        </w:rPr>
        <w:t>（三）离岗1年及以上或导师岗位被终止者，其指导的研究生由导师和培养单位与学生协商另行安排导师，报研究生处备案。</w:t>
      </w:r>
    </w:p>
    <w:p w14:paraId="48162F35">
      <w:pPr>
        <w:pStyle w:val="39"/>
        <w:spacing w:line="520" w:lineRule="exact"/>
        <w:ind w:firstLine="640"/>
      </w:pPr>
      <w:r>
        <w:rPr>
          <w:rFonts w:hint="eastAsia"/>
        </w:rPr>
        <w:t>（四）因身体原因、科学研究条件限制、退休、离职等特殊情况，需解除指导关系，导师应同研究生协商取得一致意见并协调安排好新的导师，经培养单位批准后，报研究生处备案。</w:t>
      </w:r>
    </w:p>
    <w:p w14:paraId="161DD448">
      <w:pPr>
        <w:pStyle w:val="39"/>
        <w:spacing w:line="520" w:lineRule="exact"/>
        <w:ind w:firstLine="640"/>
      </w:pPr>
      <w:r>
        <w:rPr>
          <w:rFonts w:hint="eastAsia"/>
        </w:rPr>
        <w:t>（五）师生出现导学矛盾无法调解的，或出现其他不利于保持良好导学关系的情况，培养单位应及时予以调解，必要时可解除指导关系，重新为研究生确定导师，报研究生处备案。</w:t>
      </w:r>
    </w:p>
    <w:p w14:paraId="11658156">
      <w:pPr>
        <w:pStyle w:val="39"/>
        <w:spacing w:line="520" w:lineRule="exact"/>
        <w:ind w:firstLine="640"/>
      </w:pPr>
      <w:r>
        <w:rPr>
          <w:rFonts w:hint="eastAsia" w:eastAsia="黑体"/>
        </w:rPr>
        <w:t>第二十三条</w:t>
      </w:r>
      <w:r>
        <w:rPr>
          <w:rFonts w:hint="eastAsia"/>
        </w:rPr>
        <w:t xml:space="preserve">  岗位调整</w:t>
      </w:r>
    </w:p>
    <w:p w14:paraId="7E1F760A">
      <w:pPr>
        <w:pStyle w:val="39"/>
        <w:spacing w:line="520" w:lineRule="exact"/>
        <w:ind w:firstLine="640"/>
      </w:pPr>
      <w:r>
        <w:rPr>
          <w:rFonts w:hint="eastAsia"/>
        </w:rPr>
        <w:t>学校建立导师岗位动态调整机制，对未能有效履行岗位职责的导师开列履职负面清单。在研究生招生、培养、学位授予等环节出现严重问题的导师，学校及培养单位对其采取约谈、限招、停招、退出导师岗位等管理措施，加强管理。未取得年度招生资格的导师，当年不得招收研究生；指导人数超限的，当年限招研究生。</w:t>
      </w:r>
    </w:p>
    <w:p w14:paraId="18004782">
      <w:pPr>
        <w:pStyle w:val="39"/>
        <w:spacing w:line="520" w:lineRule="exact"/>
        <w:ind w:firstLine="640"/>
      </w:pPr>
      <w:r>
        <w:rPr>
          <w:rFonts w:hint="eastAsia"/>
        </w:rPr>
        <w:t>（一）出现下列情形之一的，除给予导师批评教育外，暂停其招生：</w:t>
      </w:r>
    </w:p>
    <w:p w14:paraId="5DC41307">
      <w:pPr>
        <w:pStyle w:val="39"/>
        <w:spacing w:line="520" w:lineRule="exact"/>
        <w:ind w:firstLine="640"/>
      </w:pPr>
      <w:r>
        <w:rPr>
          <w:rFonts w:hint="eastAsia"/>
        </w:rPr>
        <w:t>1.立德树人职责落实不到位，指导的学生言行给学校造成负面影响或导致学校被上级主管部门约谈的，停止该导师招收研究生1年。</w:t>
      </w:r>
    </w:p>
    <w:p w14:paraId="461AD45A">
      <w:pPr>
        <w:pStyle w:val="39"/>
        <w:spacing w:line="520" w:lineRule="exact"/>
        <w:ind w:firstLine="640"/>
      </w:pPr>
      <w:r>
        <w:rPr>
          <w:rFonts w:hint="eastAsia"/>
        </w:rPr>
        <w:t>2.因师德失范行为受到学校警告或记过处分的，停止该导师招收研究生2年。</w:t>
      </w:r>
    </w:p>
    <w:p w14:paraId="0E514E40">
      <w:pPr>
        <w:pStyle w:val="39"/>
        <w:spacing w:line="520" w:lineRule="exact"/>
        <w:ind w:firstLine="640"/>
      </w:pPr>
      <w:r>
        <w:rPr>
          <w:rFonts w:hint="eastAsia"/>
        </w:rPr>
        <w:t>3.指导的同一层次研究生学位论文，一年内出现2篇学位论文同行专家评阅未通过或连续2年出现学位论文同行专家评阅未通过的，停止该导师招收相应层次研究生1年。</w:t>
      </w:r>
    </w:p>
    <w:p w14:paraId="6033A0A6">
      <w:pPr>
        <w:pStyle w:val="39"/>
        <w:spacing w:line="520" w:lineRule="exact"/>
        <w:ind w:firstLine="640"/>
      </w:pPr>
      <w:r>
        <w:rPr>
          <w:rFonts w:hint="eastAsia"/>
        </w:rPr>
        <w:t>4.指导的学位论文在省级及以上论文抽检中被确定为“存在问题学位论文”的，停止该导师招收相应层次研究生2年。</w:t>
      </w:r>
    </w:p>
    <w:p w14:paraId="37A6F15F">
      <w:pPr>
        <w:pStyle w:val="39"/>
        <w:spacing w:line="520" w:lineRule="exact"/>
        <w:ind w:firstLine="640"/>
      </w:pPr>
      <w:r>
        <w:rPr>
          <w:rFonts w:hint="eastAsia"/>
        </w:rPr>
        <w:t>5.研究生出现弄虚作假、抄袭剽窃等学术不端行为，导师失察并造成不良影响的，停止该导师招收研究生1年。</w:t>
      </w:r>
    </w:p>
    <w:p w14:paraId="1A86A706">
      <w:pPr>
        <w:pStyle w:val="39"/>
        <w:spacing w:line="520" w:lineRule="exact"/>
        <w:ind w:firstLine="640"/>
      </w:pPr>
      <w:r>
        <w:rPr>
          <w:rFonts w:hint="eastAsia"/>
        </w:rPr>
        <w:t>6.导师或培养单位违反学校和上级相关文件及管理规定，发生责任事故或损害学校利益的，扣减培养单位研究生招生指标。导师存在责任的，停止该导师招收研究生2年。</w:t>
      </w:r>
    </w:p>
    <w:p w14:paraId="3AC25F08">
      <w:pPr>
        <w:pStyle w:val="39"/>
        <w:spacing w:line="520" w:lineRule="exact"/>
        <w:ind w:firstLine="640"/>
      </w:pPr>
      <w:r>
        <w:rPr>
          <w:rFonts w:hint="eastAsia"/>
        </w:rPr>
        <w:t>符合暂停招生情形者，由培养单位提出处理意见，报研究生处批准后执行。暂停招生资格的导师，停招时间结束后，需向培养单位学位评定分委员会提出申请，经批准后，方可恢复年度招生申请资格。</w:t>
      </w:r>
    </w:p>
    <w:p w14:paraId="4DC4852E">
      <w:pPr>
        <w:pStyle w:val="39"/>
        <w:spacing w:line="520" w:lineRule="exact"/>
        <w:ind w:firstLine="640"/>
      </w:pPr>
      <w:r>
        <w:rPr>
          <w:rFonts w:hint="eastAsia"/>
        </w:rPr>
        <w:t>（二）出现下列情形之一的，退出导师岗位：</w:t>
      </w:r>
    </w:p>
    <w:p w14:paraId="0736164C">
      <w:pPr>
        <w:pStyle w:val="39"/>
        <w:spacing w:line="520" w:lineRule="exact"/>
        <w:ind w:firstLine="640"/>
      </w:pPr>
      <w:r>
        <w:rPr>
          <w:rFonts w:hint="eastAsia"/>
        </w:rPr>
        <w:t>1.因师德失范受到学校降低岗位等级或撤职及以上处分。</w:t>
      </w:r>
    </w:p>
    <w:p w14:paraId="41021A41">
      <w:pPr>
        <w:pStyle w:val="39"/>
        <w:spacing w:line="520" w:lineRule="exact"/>
        <w:ind w:firstLine="640"/>
      </w:pPr>
      <w:r>
        <w:rPr>
          <w:rFonts w:hint="eastAsia"/>
        </w:rPr>
        <w:t>2.近3年累计2次导师岗位年度考核不合格。</w:t>
      </w:r>
    </w:p>
    <w:p w14:paraId="08B615BF">
      <w:pPr>
        <w:pStyle w:val="39"/>
        <w:spacing w:line="520" w:lineRule="exact"/>
        <w:ind w:firstLine="640"/>
      </w:pPr>
      <w:r>
        <w:rPr>
          <w:rFonts w:hint="eastAsia"/>
        </w:rPr>
        <w:t>3.近3年，累计2次教师岗位考核不合格或累计2次未完成学校规定的额定科研工作量或教学工作量。</w:t>
      </w:r>
    </w:p>
    <w:p w14:paraId="4C6CE39A">
      <w:pPr>
        <w:pStyle w:val="39"/>
        <w:spacing w:line="520" w:lineRule="exact"/>
        <w:ind w:firstLine="640"/>
      </w:pPr>
      <w:r>
        <w:rPr>
          <w:rFonts w:hint="eastAsia"/>
        </w:rPr>
        <w:t>4.指导的学位论文在省级及以上论文抽检中，连续3次抽检累计有2人次被确定为“存在问题学位论文”。</w:t>
      </w:r>
    </w:p>
    <w:p w14:paraId="08647306">
      <w:pPr>
        <w:pStyle w:val="39"/>
        <w:spacing w:line="520" w:lineRule="exact"/>
        <w:ind w:firstLine="640"/>
      </w:pPr>
      <w:r>
        <w:rPr>
          <w:rFonts w:hint="eastAsia"/>
        </w:rPr>
        <w:t>5.获得导师岗位后连续3年未招收研究生的，视为自动退出导师岗位。</w:t>
      </w:r>
    </w:p>
    <w:p w14:paraId="109D6C1F">
      <w:pPr>
        <w:pStyle w:val="39"/>
        <w:spacing w:line="520" w:lineRule="exact"/>
        <w:ind w:firstLine="640"/>
      </w:pPr>
      <w:r>
        <w:rPr>
          <w:rFonts w:hint="eastAsia"/>
        </w:rPr>
        <w:t>6.不能履行职责，无法保证研究生培养质量，不能提供研究生培养条件，情节严重的。</w:t>
      </w:r>
    </w:p>
    <w:p w14:paraId="0249AAEC">
      <w:pPr>
        <w:pStyle w:val="39"/>
        <w:spacing w:line="520" w:lineRule="exact"/>
        <w:ind w:firstLine="640"/>
      </w:pPr>
      <w:r>
        <w:rPr>
          <w:rFonts w:hint="eastAsia"/>
        </w:rPr>
        <w:t>7.其他被认定为不适合招收研究生的事件或行为。</w:t>
      </w:r>
    </w:p>
    <w:p w14:paraId="5F2EC20D">
      <w:pPr>
        <w:pStyle w:val="39"/>
        <w:spacing w:line="520" w:lineRule="exact"/>
        <w:ind w:firstLine="640"/>
      </w:pPr>
      <w:r>
        <w:rPr>
          <w:rFonts w:hint="eastAsia"/>
        </w:rPr>
        <w:t>退出导师岗位者，在退出导师岗位2年后，可按照本办法规定的导师岗位选聘条件和程序重新申请导师岗位。</w:t>
      </w:r>
    </w:p>
    <w:p w14:paraId="1FD74DE9">
      <w:pPr>
        <w:pStyle w:val="39"/>
        <w:spacing w:line="520" w:lineRule="exact"/>
        <w:ind w:firstLine="640"/>
      </w:pPr>
      <w:r>
        <w:rPr>
          <w:rFonts w:hint="eastAsia"/>
        </w:rPr>
        <w:t>（三）出现下列情形之一的，永久取消其导师资格：</w:t>
      </w:r>
    </w:p>
    <w:p w14:paraId="21D49E51">
      <w:pPr>
        <w:pStyle w:val="39"/>
        <w:spacing w:line="520" w:lineRule="exact"/>
        <w:ind w:firstLine="640"/>
      </w:pPr>
      <w:r>
        <w:rPr>
          <w:rFonts w:hint="eastAsia"/>
        </w:rPr>
        <w:t>1.传播违反我国法律法规和违反社会主义核心价值观的内容；发表违背党的路线方针政策及有损党和国家声誉的负面和消极言论；暗示或教唆研究生从事国家禁止的活动。</w:t>
      </w:r>
    </w:p>
    <w:p w14:paraId="74CA4584">
      <w:pPr>
        <w:pStyle w:val="39"/>
        <w:spacing w:line="520" w:lineRule="exact"/>
        <w:ind w:firstLine="640"/>
      </w:pPr>
      <w:r>
        <w:rPr>
          <w:rFonts w:hint="eastAsia"/>
        </w:rPr>
        <w:t>2.构成犯罪被判处刑罚。</w:t>
      </w:r>
    </w:p>
    <w:p w14:paraId="0ED9CCB8">
      <w:pPr>
        <w:pStyle w:val="39"/>
        <w:spacing w:line="520" w:lineRule="exact"/>
        <w:ind w:firstLine="640"/>
      </w:pPr>
      <w:r>
        <w:rPr>
          <w:rFonts w:hint="eastAsia"/>
        </w:rPr>
        <w:t>符合退出导师岗位或永久取消导师资格情形者，由培养单位学位评定分委员会提出处理意见，报校学位评定委员会批准后执行。</w:t>
      </w:r>
    </w:p>
    <w:p w14:paraId="548F7ABF">
      <w:pPr>
        <w:pStyle w:val="41"/>
        <w:spacing w:before="381" w:after="381"/>
      </w:pPr>
      <w:r>
        <w:rPr>
          <w:rFonts w:hint="eastAsia"/>
        </w:rPr>
        <w:t>第五章  导师岗位职责和权利</w:t>
      </w:r>
    </w:p>
    <w:p w14:paraId="1F64CB4E">
      <w:pPr>
        <w:pStyle w:val="39"/>
        <w:spacing w:line="520" w:lineRule="exact"/>
        <w:ind w:firstLine="640"/>
      </w:pPr>
      <w:r>
        <w:rPr>
          <w:rFonts w:hint="eastAsia" w:eastAsia="黑体"/>
        </w:rPr>
        <w:t>第二十四条</w:t>
      </w:r>
      <w:r>
        <w:rPr>
          <w:rFonts w:hint="eastAsia"/>
        </w:rPr>
        <w:t xml:space="preserve">  岗位职责</w:t>
      </w:r>
    </w:p>
    <w:p w14:paraId="78D8219C">
      <w:pPr>
        <w:pStyle w:val="39"/>
        <w:spacing w:line="520" w:lineRule="exact"/>
        <w:ind w:firstLine="640"/>
      </w:pPr>
      <w:r>
        <w:rPr>
          <w:rFonts w:hint="eastAsia"/>
        </w:rPr>
        <w:t>（一）提升研究生思想政治素质。导师应以立德树人作为首要责任，引导研究生树立正确的世界观、人生观、价值观，培养德智体美劳全面发展的高层次专门人才。</w:t>
      </w:r>
    </w:p>
    <w:p w14:paraId="168E594E">
      <w:pPr>
        <w:pStyle w:val="39"/>
        <w:spacing w:line="520" w:lineRule="exact"/>
        <w:ind w:firstLine="640"/>
      </w:pPr>
      <w:r>
        <w:rPr>
          <w:rFonts w:hint="eastAsia"/>
        </w:rPr>
        <w:t>（二）培养研究生学术创新能力。按照因材施教和个性化培养理念，指导研究生制定培养计划，注重关键培养环节的检查，强化学术指导；定期与研究生沟通交流，指导研究生确定研究方向，深入开展研究；营造和谐的学术环境，培养研究生的创新意识和创新能力，激发研究生创新潜力；引导研究生跟踪学科前沿，开拓学术视野，开展创新性研究。</w:t>
      </w:r>
    </w:p>
    <w:p w14:paraId="6E04D415">
      <w:pPr>
        <w:pStyle w:val="39"/>
        <w:spacing w:line="520" w:lineRule="exact"/>
        <w:ind w:firstLine="640"/>
      </w:pPr>
      <w:r>
        <w:rPr>
          <w:rFonts w:hint="eastAsia"/>
        </w:rPr>
        <w:t>（三）培养研究生实践创新能力。鼓励研究生积极参加国内外学术和专业实践活动，培养研究生提出问题、分析问题和解决问题的能力，强化理论与实践相结合；支持和指导研究生将科研成果转化应用，推动产学研用紧密结合，提升创新创业能力。</w:t>
      </w:r>
    </w:p>
    <w:p w14:paraId="4A492629">
      <w:pPr>
        <w:pStyle w:val="39"/>
        <w:spacing w:line="520" w:lineRule="exact"/>
        <w:ind w:firstLine="640"/>
      </w:pPr>
      <w:r>
        <w:rPr>
          <w:rFonts w:hint="eastAsia"/>
        </w:rPr>
        <w:t>（四）增强研究生社会责任感。鼓励研究生将个人的发展进步与国家和民族的发展需要相结合，为国家富强和民族复兴贡献智慧和力量；支持和鼓励研究生参与各种社会实践和志愿服务活动，在服务人民与奉献社会的过程中实现自己的人生价值；培养研究生的国际视野和家国情怀，积极致力于构建人类命运共同体，努力成为世界文明进步的积极推动者。</w:t>
      </w:r>
    </w:p>
    <w:p w14:paraId="7349C889">
      <w:pPr>
        <w:pStyle w:val="39"/>
        <w:spacing w:line="520" w:lineRule="exact"/>
        <w:ind w:firstLine="640"/>
      </w:pPr>
      <w:r>
        <w:rPr>
          <w:rFonts w:hint="eastAsia"/>
        </w:rPr>
        <w:t>（五）指导研究生恪守学术道德规范。培养研究生严谨认真的治学态度和求真务实的科学精神，自觉遵守科研诚信与学术道德，自觉维护学术尊严，杜绝学术不端行为；在研究生培养的各个环节，强化学术规范训练，加强职业伦理教育，提升学术道德涵养；培养研究生尊重他人劳动成果，提高知识产权保护意识。</w:t>
      </w:r>
    </w:p>
    <w:p w14:paraId="709F2135">
      <w:pPr>
        <w:pStyle w:val="39"/>
        <w:spacing w:line="520" w:lineRule="exact"/>
        <w:ind w:firstLine="640"/>
      </w:pPr>
      <w:r>
        <w:rPr>
          <w:rFonts w:hint="eastAsia"/>
        </w:rPr>
        <w:t>（六）优化研究生培养条件。积极为研究生的学习和成长创造良好条件，为研究生开展科学研究提供有利条件，为研究生学术交流搭建平台，为研究生提供助研岗位，发放适当津贴。</w:t>
      </w:r>
    </w:p>
    <w:p w14:paraId="23C9EEC2">
      <w:pPr>
        <w:pStyle w:val="39"/>
        <w:spacing w:line="520" w:lineRule="exact"/>
        <w:ind w:firstLine="640"/>
      </w:pPr>
      <w:r>
        <w:rPr>
          <w:rFonts w:hint="eastAsia"/>
        </w:rPr>
        <w:t>（七）注重对研究生人文关怀。加强对研究生的人文关怀和心理疏导，加强校规校纪教育，把解决思想问题同解决实际问题结合起来，了解学生成长环境和过程，在关心帮助研究生的过程中做好教育和引导工作。加强与研究生的交流与沟通，建立良好的师生互动机制，关注研究生学业压力，营造良好的学习氛围，提供相应的支持和鼓励，保护研究生合法权益；关注研究生就业压力，引导研究生做好职业生涯规划，关心研究生生活和身心健康，不断提升研究生敢于面对困难挫折的良好心理素质。</w:t>
      </w:r>
    </w:p>
    <w:p w14:paraId="14D94FBD">
      <w:pPr>
        <w:pStyle w:val="39"/>
        <w:spacing w:line="520" w:lineRule="exact"/>
        <w:ind w:firstLine="640"/>
      </w:pPr>
      <w:r>
        <w:rPr>
          <w:rFonts w:hint="eastAsia" w:eastAsia="黑体"/>
        </w:rPr>
        <w:t>第二十五条</w:t>
      </w:r>
      <w:r>
        <w:rPr>
          <w:rFonts w:hint="eastAsia"/>
        </w:rPr>
        <w:t xml:space="preserve">  岗位权利</w:t>
      </w:r>
    </w:p>
    <w:p w14:paraId="6FD4AF2B">
      <w:pPr>
        <w:pStyle w:val="39"/>
        <w:spacing w:line="520" w:lineRule="exact"/>
        <w:ind w:firstLine="640"/>
      </w:pPr>
      <w:r>
        <w:rPr>
          <w:rFonts w:hint="eastAsia"/>
        </w:rPr>
        <w:t>（一）招生参与权。导师可根据科研需求及研究经费情况，提出本人年度招生申请，参与招生工作。</w:t>
      </w:r>
    </w:p>
    <w:p w14:paraId="4D50F696">
      <w:pPr>
        <w:pStyle w:val="39"/>
        <w:spacing w:line="520" w:lineRule="exact"/>
        <w:ind w:firstLine="640"/>
      </w:pPr>
      <w:r>
        <w:rPr>
          <w:rFonts w:hint="eastAsia"/>
        </w:rPr>
        <w:t>（二）培养自主权。导师根据研究生培养方案和相关管理规定，结合研究生个人实际，与其共同制订个性化的培养计划，作为履行指导职责、督促学业进程、调整学习年限等主要依据。对不宜继续培养的研究生，有权向培养单位反映情况并提出处理建议。</w:t>
      </w:r>
    </w:p>
    <w:p w14:paraId="3610BCF9">
      <w:pPr>
        <w:pStyle w:val="39"/>
        <w:spacing w:line="520" w:lineRule="exact"/>
        <w:ind w:firstLine="640"/>
      </w:pPr>
      <w:r>
        <w:rPr>
          <w:rFonts w:hint="eastAsia"/>
        </w:rPr>
        <w:t>（三）育人推荐权。导师对研究生申请硕博连读、联合培养、科研项目、学术交流、成果奖励以及其他综合素质评价鉴定等具有推荐权，有权对研究生奖助学金评定、“三助”岗位申请等提出意见和建议。</w:t>
      </w:r>
    </w:p>
    <w:p w14:paraId="3B2E6630">
      <w:pPr>
        <w:pStyle w:val="39"/>
        <w:spacing w:line="520" w:lineRule="exact"/>
        <w:ind w:firstLine="640"/>
      </w:pPr>
      <w:r>
        <w:rPr>
          <w:rFonts w:hint="eastAsia"/>
        </w:rPr>
        <w:t xml:space="preserve">（四）管理建议权。导师有权对培养单位的学科建设和研究生招生、培养、学位授予等提出建议。 </w:t>
      </w:r>
    </w:p>
    <w:p w14:paraId="7E130F15">
      <w:pPr>
        <w:pStyle w:val="41"/>
        <w:spacing w:before="381" w:after="381"/>
      </w:pPr>
      <w:r>
        <w:rPr>
          <w:rFonts w:hint="eastAsia"/>
        </w:rPr>
        <w:t>第六章  导师岗位培训</w:t>
      </w:r>
    </w:p>
    <w:p w14:paraId="3C369C0E">
      <w:pPr>
        <w:pStyle w:val="39"/>
        <w:spacing w:line="520" w:lineRule="exact"/>
        <w:ind w:firstLine="640"/>
      </w:pPr>
      <w:r>
        <w:rPr>
          <w:rFonts w:hint="eastAsia" w:eastAsia="黑体"/>
        </w:rPr>
        <w:t>第二十六条</w:t>
      </w:r>
      <w:r>
        <w:rPr>
          <w:rFonts w:hint="eastAsia"/>
        </w:rPr>
        <w:t xml:space="preserve">  导师岗位培训按照对象分为岗前培训和在岗培训。学校和培养单位应设立专项经费，构建校院两级全覆盖培训体系。学校负责制定培训总体规划并组织各培养单位开展导师岗位培训，培养单位在学校的指导下负责具体实施本单位新选聘导师岗前培训和在岗导师日常培训。</w:t>
      </w:r>
    </w:p>
    <w:p w14:paraId="160D8FA4">
      <w:pPr>
        <w:pStyle w:val="39"/>
        <w:spacing w:line="540" w:lineRule="exact"/>
        <w:ind w:firstLine="640"/>
      </w:pPr>
      <w:r>
        <w:rPr>
          <w:rFonts w:hint="eastAsia" w:eastAsia="黑体"/>
        </w:rPr>
        <w:t>第二十七条</w:t>
      </w:r>
      <w:r>
        <w:rPr>
          <w:rFonts w:hint="eastAsia"/>
        </w:rPr>
        <w:t xml:space="preserve">  学校和培养单位采取专家报告、经验分享、社会实践、学习研讨等多种形式开展导师培训，将政治理论、国情教育、法治教育、职责权利、师德师风、研究生教育政策、教学管理制度、指导方法、科研诚信、学术伦理、学术规范、心理学知识等纳入培训内容。</w:t>
      </w:r>
    </w:p>
    <w:p w14:paraId="214C5627">
      <w:pPr>
        <w:pStyle w:val="39"/>
        <w:spacing w:line="540" w:lineRule="exact"/>
        <w:ind w:firstLine="640"/>
      </w:pPr>
      <w:r>
        <w:rPr>
          <w:rFonts w:hint="eastAsia" w:eastAsia="黑体"/>
        </w:rPr>
        <w:t>第二十八条</w:t>
      </w:r>
      <w:r>
        <w:rPr>
          <w:rFonts w:hint="eastAsia"/>
        </w:rPr>
        <w:t xml:space="preserve">  新选聘导师须参加岗前培训，在岗导师每年至少参加1次由上级教育行政主管部门、学校或培养单位组织的培训。未参加培训或培训考核不合格者，不能申请年度招生资格。</w:t>
      </w:r>
    </w:p>
    <w:p w14:paraId="0891EC44">
      <w:pPr>
        <w:pStyle w:val="41"/>
        <w:spacing w:before="381" w:after="381" w:line="540" w:lineRule="exact"/>
      </w:pPr>
      <w:r>
        <w:rPr>
          <w:rFonts w:hint="eastAsia"/>
        </w:rPr>
        <w:t>第七章  其他规定</w:t>
      </w:r>
    </w:p>
    <w:p w14:paraId="612194DD">
      <w:pPr>
        <w:pStyle w:val="39"/>
        <w:spacing w:line="540" w:lineRule="exact"/>
        <w:ind w:firstLine="640"/>
      </w:pPr>
      <w:r>
        <w:rPr>
          <w:rFonts w:hint="eastAsia" w:eastAsia="黑体"/>
        </w:rPr>
        <w:t xml:space="preserve">第二十九条 </w:t>
      </w:r>
      <w:r>
        <w:rPr>
          <w:rFonts w:hint="eastAsia"/>
        </w:rPr>
        <w:t xml:space="preserve"> 专业学位研究生的培养实行校内外双导师制，以校内导师指导为主，校外行业导师参与实践过程、项目研究、课程与论文等多个环节的指导工作。校内外导师应经常交流指导情况，促进研究生实践研究和创新能力提高，增长实际工作经验，缩短就业适应期限，提高专业素养及就业创业能力。</w:t>
      </w:r>
    </w:p>
    <w:p w14:paraId="6058C9E9">
      <w:pPr>
        <w:pStyle w:val="39"/>
        <w:spacing w:line="540" w:lineRule="exact"/>
        <w:ind w:firstLine="640"/>
      </w:pPr>
      <w:r>
        <w:rPr>
          <w:rFonts w:hint="eastAsia" w:eastAsia="黑体"/>
        </w:rPr>
        <w:t>第三十条</w:t>
      </w:r>
      <w:r>
        <w:rPr>
          <w:rFonts w:hint="eastAsia"/>
        </w:rPr>
        <w:t xml:space="preserve">  获得重大创新性学术成果者，可向校学位评定委员会申请破格选聘为研究生导师。</w:t>
      </w:r>
    </w:p>
    <w:p w14:paraId="4946D180">
      <w:pPr>
        <w:pStyle w:val="39"/>
        <w:spacing w:line="540" w:lineRule="exact"/>
        <w:ind w:firstLine="640"/>
      </w:pPr>
      <w:r>
        <w:rPr>
          <w:rFonts w:hint="eastAsia" w:eastAsia="黑体"/>
        </w:rPr>
        <w:t>第三十一条</w:t>
      </w:r>
      <w:r>
        <w:rPr>
          <w:rFonts w:hint="eastAsia"/>
        </w:rPr>
        <w:t xml:space="preserve"> 校外导师及人事或劳动关系不在我校的导师，原则上不独立招收、培养研究生，应与校内导师合作成立导师组，共同指导研究生。</w:t>
      </w:r>
    </w:p>
    <w:p w14:paraId="3CDFFDE2">
      <w:pPr>
        <w:pStyle w:val="39"/>
        <w:spacing w:line="540" w:lineRule="exact"/>
        <w:ind w:firstLine="640"/>
      </w:pPr>
      <w:r>
        <w:rPr>
          <w:rFonts w:hint="eastAsia" w:eastAsia="黑体"/>
        </w:rPr>
        <w:t>第三十二条</w:t>
      </w:r>
      <w:r>
        <w:rPr>
          <w:rFonts w:hint="eastAsia"/>
        </w:rPr>
        <w:t xml:space="preserve">  本办法中科研项目及成果分级分类按照《江汉大学学术成果和科研项目分类评价认定标准（试行）》（江校科〔2021〕25号）执行。</w:t>
      </w:r>
    </w:p>
    <w:p w14:paraId="781B8D88">
      <w:pPr>
        <w:pStyle w:val="41"/>
        <w:spacing w:before="381" w:after="381" w:line="540" w:lineRule="exact"/>
      </w:pPr>
      <w:r>
        <w:rPr>
          <w:rFonts w:hint="eastAsia"/>
        </w:rPr>
        <w:t>第八章  附  则</w:t>
      </w:r>
    </w:p>
    <w:p w14:paraId="541190B8">
      <w:pPr>
        <w:pStyle w:val="39"/>
        <w:spacing w:line="540" w:lineRule="exact"/>
        <w:ind w:firstLine="640"/>
      </w:pPr>
      <w:r>
        <w:rPr>
          <w:rFonts w:hint="eastAsia" w:eastAsia="黑体"/>
        </w:rPr>
        <w:t>第三十三条</w:t>
      </w:r>
      <w:r>
        <w:rPr>
          <w:rFonts w:hint="eastAsia"/>
        </w:rPr>
        <w:t xml:space="preserve">  本办法自印发之日起施行，由研究生处负责解释。原《江汉大学硕士专业学位研究生校外导师管理办法（试行）》（江校研〔2015〕7号）、《江汉大学硕士研究生指导教师管理暂行办法》（江校研〔2016〕8号）同时废止，原有相关规定与本办法不一致的，以本办法为准。</w:t>
      </w:r>
    </w:p>
    <w:p w14:paraId="40E9B57D">
      <w:pPr>
        <w:pStyle w:val="39"/>
        <w:ind w:firstLine="640"/>
      </w:pPr>
    </w:p>
    <w:p w14:paraId="60E463A9">
      <w:pPr>
        <w:spacing w:line="560" w:lineRule="exact"/>
        <w:ind w:firstLine="640" w:firstLineChars="200"/>
        <w:rPr>
          <w:rFonts w:eastAsia="仿宋_GB2312"/>
          <w:sz w:val="32"/>
          <w:szCs w:val="32"/>
        </w:rPr>
      </w:pPr>
    </w:p>
    <w:p w14:paraId="34D02FC6">
      <w:pPr>
        <w:spacing w:line="560" w:lineRule="exact"/>
        <w:ind w:firstLine="640" w:firstLineChars="200"/>
        <w:rPr>
          <w:rFonts w:eastAsia="仿宋_GB2312"/>
          <w:sz w:val="32"/>
          <w:szCs w:val="32"/>
        </w:rPr>
      </w:pPr>
    </w:p>
    <w:p w14:paraId="31C58F8E">
      <w:pPr>
        <w:spacing w:line="560" w:lineRule="exact"/>
        <w:ind w:firstLine="640" w:firstLineChars="200"/>
        <w:rPr>
          <w:rFonts w:eastAsia="仿宋_GB2312"/>
          <w:sz w:val="32"/>
          <w:szCs w:val="32"/>
        </w:rPr>
      </w:pPr>
    </w:p>
    <w:p w14:paraId="0320FF26">
      <w:pPr>
        <w:spacing w:line="560" w:lineRule="exact"/>
        <w:ind w:firstLine="640" w:firstLineChars="200"/>
        <w:rPr>
          <w:rFonts w:eastAsia="仿宋_GB2312"/>
          <w:sz w:val="32"/>
          <w:szCs w:val="32"/>
        </w:rPr>
      </w:pPr>
    </w:p>
    <w:p w14:paraId="23E91000">
      <w:pPr>
        <w:spacing w:line="560" w:lineRule="exact"/>
        <w:ind w:firstLine="640" w:firstLineChars="200"/>
        <w:rPr>
          <w:rFonts w:eastAsia="仿宋_GB2312"/>
          <w:sz w:val="32"/>
          <w:szCs w:val="32"/>
        </w:rPr>
      </w:pPr>
    </w:p>
    <w:p w14:paraId="3F179683">
      <w:pPr>
        <w:spacing w:line="560" w:lineRule="exact"/>
        <w:ind w:firstLine="640" w:firstLineChars="200"/>
        <w:rPr>
          <w:rFonts w:eastAsia="仿宋_GB2312"/>
          <w:sz w:val="32"/>
          <w:szCs w:val="32"/>
        </w:rPr>
      </w:pPr>
    </w:p>
    <w:p w14:paraId="06F5E726">
      <w:pPr>
        <w:spacing w:line="560" w:lineRule="exact"/>
        <w:ind w:firstLine="640" w:firstLineChars="200"/>
        <w:rPr>
          <w:rFonts w:eastAsia="仿宋_GB2312"/>
          <w:sz w:val="32"/>
          <w:szCs w:val="32"/>
        </w:rPr>
      </w:pPr>
    </w:p>
    <w:p w14:paraId="22B16231">
      <w:pPr>
        <w:spacing w:line="560" w:lineRule="exact"/>
        <w:ind w:firstLine="640" w:firstLineChars="200"/>
        <w:rPr>
          <w:rFonts w:eastAsia="仿宋_GB2312"/>
          <w:sz w:val="32"/>
          <w:szCs w:val="32"/>
        </w:rPr>
      </w:pPr>
    </w:p>
    <w:p w14:paraId="0A10ACEC">
      <w:pPr>
        <w:spacing w:line="560" w:lineRule="exact"/>
        <w:ind w:firstLine="640" w:firstLineChars="200"/>
        <w:rPr>
          <w:rFonts w:eastAsia="仿宋_GB2312"/>
          <w:sz w:val="32"/>
          <w:szCs w:val="32"/>
        </w:rPr>
      </w:pPr>
    </w:p>
    <w:p w14:paraId="3CC69946">
      <w:pPr>
        <w:spacing w:line="560" w:lineRule="exact"/>
        <w:ind w:firstLine="640" w:firstLineChars="200"/>
        <w:rPr>
          <w:rFonts w:eastAsia="仿宋_GB2312"/>
          <w:sz w:val="32"/>
          <w:szCs w:val="32"/>
        </w:rPr>
      </w:pPr>
    </w:p>
    <w:p w14:paraId="29F2ED78">
      <w:pPr>
        <w:spacing w:line="560" w:lineRule="exact"/>
        <w:ind w:firstLine="640" w:firstLineChars="200"/>
        <w:rPr>
          <w:rFonts w:eastAsia="仿宋_GB2312"/>
          <w:sz w:val="32"/>
          <w:szCs w:val="32"/>
        </w:rPr>
      </w:pPr>
    </w:p>
    <w:p w14:paraId="678CE2AB">
      <w:pPr>
        <w:spacing w:line="560" w:lineRule="exact"/>
        <w:rPr>
          <w:rFonts w:eastAsia="仿宋_GB2312"/>
          <w:sz w:val="32"/>
          <w:szCs w:val="32"/>
        </w:rPr>
      </w:pPr>
    </w:p>
    <w:p w14:paraId="22E09E4D">
      <w:pPr>
        <w:spacing w:line="560" w:lineRule="exact"/>
        <w:ind w:firstLine="640" w:firstLineChars="200"/>
        <w:rPr>
          <w:rFonts w:eastAsia="仿宋_GB2312"/>
          <w:sz w:val="32"/>
        </w:rPr>
      </w:pPr>
    </w:p>
    <w:p w14:paraId="1E25C432">
      <w:pPr>
        <w:spacing w:line="100" w:lineRule="exact"/>
        <w:ind w:firstLine="640" w:firstLineChars="200"/>
        <w:rPr>
          <w:rFonts w:eastAsia="仿宋_GB2312"/>
          <w:sz w:val="32"/>
        </w:rPr>
      </w:pPr>
    </w:p>
    <w:p w14:paraId="29E46BEF">
      <w:pPr>
        <w:spacing w:line="100" w:lineRule="exact"/>
        <w:ind w:firstLine="640" w:firstLineChars="200"/>
        <w:rPr>
          <w:rFonts w:eastAsia="仿宋_GB2312"/>
          <w:sz w:val="32"/>
        </w:rPr>
      </w:pPr>
    </w:p>
    <w:p w14:paraId="3B0D8B63">
      <w:pPr>
        <w:spacing w:line="100" w:lineRule="exact"/>
        <w:ind w:firstLine="640" w:firstLineChars="200"/>
        <w:rPr>
          <w:rFonts w:eastAsia="仿宋_GB2312"/>
          <w:sz w:val="32"/>
        </w:rPr>
      </w:pPr>
    </w:p>
    <w:p w14:paraId="11A92D75">
      <w:pPr>
        <w:spacing w:line="560" w:lineRule="exact"/>
        <w:ind w:firstLine="420" w:firstLineChars="150"/>
        <w:rPr>
          <w:rFonts w:eastAsia="仿宋_GB2312"/>
          <w:sz w:val="28"/>
          <w:szCs w:val="28"/>
        </w:rPr>
      </w:pPr>
      <w:r>
        <w:rPr>
          <w:rFonts w:eastAsia="黑体"/>
          <w:sz w:val="28"/>
          <w:szCs w:val="28"/>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38100</wp:posOffset>
                </wp:positionV>
                <wp:extent cx="5615940" cy="0"/>
                <wp:effectExtent l="10160" t="5715" r="12700" b="13335"/>
                <wp:wrapNone/>
                <wp:docPr id="3" name="Line 9"/>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4445">
                          <a:solidFill>
                            <a:srgbClr val="000000"/>
                          </a:solidFill>
                          <a:round/>
                        </a:ln>
                      </wps:spPr>
                      <wps:bodyPr/>
                    </wps:wsp>
                  </a:graphicData>
                </a:graphic>
              </wp:anchor>
            </w:drawing>
          </mc:Choice>
          <mc:Fallback>
            <w:pict>
              <v:line id="Line 9" o:spid="_x0000_s1026" o:spt="20" style="position:absolute;left:0pt;margin-left:-0.75pt;margin-top:3pt;height:0pt;width:442.2pt;z-index:251661312;mso-width-relative:page;mso-height-relative:page;" filled="f" stroked="t" coordsize="21600,21600" o:gfxdata="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iWk+01QAAAAYBAAAPAAAAAAAAAAEAIAAAACIAAABkcnMvZG93&#10;bnJldi54bWxQSwECFAAUAAAACACHTuJAGh5kdsoBAACfAwAADgAAAAAAAAABACAAAAAkAQAAZHJz&#10;L2Uyb0RvYy54bWxQSwUGAAAAAAYABgBZAQAAYAUAAAAA&#10;">
                <v:fill on="f" focussize="0,0"/>
                <v:stroke weight="0.35pt" color="#000000" joinstyle="round"/>
                <v:imagedata o:title=""/>
                <o:lock v:ext="edit" aspectratio="f"/>
              </v:line>
            </w:pict>
          </mc:Fallback>
        </mc:AlternateContent>
      </w:r>
      <w:r>
        <w:rPr>
          <w:rFonts w:hint="eastAsia" w:eastAsia="仿宋_GB2312"/>
          <w:sz w:val="28"/>
          <w:szCs w:val="28"/>
        </w:rPr>
        <w:t>江汉大学学校办公室              　　20</w:t>
      </w:r>
      <w:r>
        <w:rPr>
          <w:rFonts w:eastAsia="仿宋_GB2312"/>
          <w:sz w:val="28"/>
          <w:szCs w:val="28"/>
        </w:rPr>
        <w:t>2</w:t>
      </w:r>
      <w:r>
        <w:rPr>
          <w:rFonts w:hint="eastAsia" w:eastAsia="仿宋_GB2312"/>
          <w:sz w:val="28"/>
          <w:szCs w:val="28"/>
        </w:rPr>
        <w:t>2年9月23日印发</w:t>
      </w:r>
    </w:p>
    <w:p w14:paraId="2241A8D6">
      <w:pPr>
        <w:spacing w:line="20" w:lineRule="exact"/>
        <w:ind w:right="945" w:rightChars="450" w:firstLine="400" w:firstLineChars="200"/>
        <w:jc w:val="right"/>
      </w:pPr>
      <w:r>
        <w:rPr>
          <w:rFonts w:eastAsia="黑体"/>
          <w:sz w:val="20"/>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36195</wp:posOffset>
                </wp:positionV>
                <wp:extent cx="5615940" cy="0"/>
                <wp:effectExtent l="10160" t="6985" r="12700" b="12065"/>
                <wp:wrapNone/>
                <wp:docPr id="2" name="Line 8"/>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4445">
                          <a:solidFill>
                            <a:srgbClr val="000000"/>
                          </a:solidFill>
                          <a:round/>
                        </a:ln>
                      </wps:spPr>
                      <wps:bodyPr/>
                    </wps:wsp>
                  </a:graphicData>
                </a:graphic>
              </wp:anchor>
            </w:drawing>
          </mc:Choice>
          <mc:Fallback>
            <w:pict>
              <v:line id="Line 8" o:spid="_x0000_s1026" o:spt="20" style="position:absolute;left:0pt;margin-left:0pt;margin-top:2.85pt;height:0pt;width:442.2pt;z-index:251662336;mso-width-relative:page;mso-height-relative:page;" filled="f" stroked="t" coordsize="21600,21600" o:gfxdata="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lWyKktQAAAAEAQAADwAAAAAAAAABACAAAAAiAAAAZHJzL2Rvd25y&#10;ZXYueG1sUEsBAhQAFAAAAAgAh07iQHOrkpXJAQAAnwMAAA4AAAAAAAAAAQAgAAAAIwEAAGRycy9l&#10;Mm9Eb2MueG1sUEsFBgAAAAAGAAYAWQEAAF4FAAAAAA==&#10;">
                <v:fill on="f" focussize="0,0"/>
                <v:stroke weight="0.35pt" color="#000000" joinstyle="round"/>
                <v:imagedata o:title=""/>
                <o:lock v:ext="edit" aspectratio="f"/>
              </v:line>
            </w:pict>
          </mc:Fallback>
        </mc:AlternateContent>
      </w:r>
    </w:p>
    <w:sectPr>
      <w:footerReference r:id="rId6" w:type="first"/>
      <w:headerReference r:id="rId3" w:type="default"/>
      <w:footerReference r:id="rId4" w:type="default"/>
      <w:footerReference r:id="rId5" w:type="even"/>
      <w:pgSz w:w="11906" w:h="16838"/>
      <w:pgMar w:top="2098" w:right="1531" w:bottom="1985" w:left="1531" w:header="851" w:footer="1418" w:gutter="0"/>
      <w:cols w:space="425" w:num="1"/>
      <w:titlePg/>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A8080">
    <w:pPr>
      <w:tabs>
        <w:tab w:val="center" w:pos="4153"/>
        <w:tab w:val="right" w:pos="8306"/>
      </w:tabs>
      <w:snapToGrid w:val="0"/>
      <w:ind w:firstLine="560"/>
      <w:jc w:val="right"/>
      <w:rPr>
        <w:sz w:val="28"/>
        <w:szCs w:val="28"/>
      </w:rPr>
    </w:pPr>
    <w:r>
      <w:rPr>
        <w:sz w:val="28"/>
        <w:szCs w:val="28"/>
      </w:rPr>
      <w:t xml:space="preserve">— </w:t>
    </w:r>
    <w:r>
      <w:rPr>
        <w:sz w:val="28"/>
        <w:szCs w:val="28"/>
      </w:rPr>
      <w:fldChar w:fldCharType="begin"/>
    </w:r>
    <w:r>
      <w:rPr>
        <w:sz w:val="28"/>
        <w:szCs w:val="28"/>
      </w:rPr>
      <w:instrText xml:space="preserve"> PAGE </w:instrText>
    </w:r>
    <w:r>
      <w:rPr>
        <w:sz w:val="28"/>
        <w:szCs w:val="28"/>
      </w:rPr>
      <w:fldChar w:fldCharType="separate"/>
    </w:r>
    <w:r>
      <w:rPr>
        <w:sz w:val="28"/>
        <w:szCs w:val="28"/>
      </w:rPr>
      <w:t>17</w:t>
    </w:r>
    <w:r>
      <w:rPr>
        <w:sz w:val="28"/>
        <w:szCs w:val="28"/>
      </w:rPr>
      <w:fldChar w:fldCharType="end"/>
    </w:r>
    <w:r>
      <w:rPr>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29371">
    <w:pPr>
      <w:tabs>
        <w:tab w:val="center" w:pos="4153"/>
        <w:tab w:val="right" w:pos="8306"/>
      </w:tabs>
      <w:snapToGrid w:val="0"/>
      <w:jc w:val="left"/>
      <w:rPr>
        <w:sz w:val="28"/>
        <w:szCs w:val="28"/>
      </w:rPr>
    </w:pPr>
    <w:r>
      <w:rPr>
        <w:sz w:val="28"/>
        <w:szCs w:val="28"/>
      </w:rPr>
      <w:t>—</w:t>
    </w:r>
    <w:r>
      <w:rPr>
        <w:rFonts w:hint="eastAsia"/>
        <w:sz w:val="28"/>
        <w:szCs w:val="28"/>
      </w:rPr>
      <w:t xml:space="preserve"> </w:t>
    </w:r>
    <w:r>
      <w:rPr>
        <w:sz w:val="28"/>
        <w:szCs w:val="28"/>
      </w:rPr>
      <w:fldChar w:fldCharType="begin"/>
    </w:r>
    <w:r>
      <w:rPr>
        <w:sz w:val="28"/>
        <w:szCs w:val="28"/>
      </w:rPr>
      <w:instrText xml:space="preserve"> PAGE </w:instrText>
    </w:r>
    <w:r>
      <w:rPr>
        <w:sz w:val="28"/>
        <w:szCs w:val="28"/>
      </w:rPr>
      <w:fldChar w:fldCharType="separate"/>
    </w:r>
    <w:r>
      <w:rPr>
        <w:sz w:val="28"/>
        <w:szCs w:val="28"/>
      </w:rPr>
      <w:t>2</w:t>
    </w:r>
    <w:r>
      <w:rPr>
        <w:sz w:val="28"/>
        <w:szCs w:val="28"/>
      </w:rPr>
      <w:fldChar w:fldCharType="end"/>
    </w:r>
    <w:r>
      <w:rPr>
        <w:rFonts w:hint="eastAsia"/>
        <w:sz w:val="28"/>
        <w:szCs w:val="28"/>
      </w:rPr>
      <w:t xml:space="preserve"> </w:t>
    </w:r>
    <w:r>
      <w:rPr>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3A294">
    <w:pPr>
      <w:pStyle w:val="4"/>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B86B2">
    <w:pPr>
      <w:ind w:firstLine="5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evenAndOddHeaders w:val="1"/>
  <w:drawingGridHorizontalSpacing w:val="105"/>
  <w:drawingGridVerticalSpacing w:val="38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oaoa.jhun.edu.cn:80/seeyon/officeservlet"/>
  </w:docVars>
  <w:rsids>
    <w:rsidRoot w:val="003A514E"/>
    <w:rsid w:val="00002D20"/>
    <w:rsid w:val="000064AC"/>
    <w:rsid w:val="0001501A"/>
    <w:rsid w:val="000157B5"/>
    <w:rsid w:val="00016B15"/>
    <w:rsid w:val="00017CCC"/>
    <w:rsid w:val="000251D3"/>
    <w:rsid w:val="000269FD"/>
    <w:rsid w:val="00034BDF"/>
    <w:rsid w:val="000357B5"/>
    <w:rsid w:val="0003666E"/>
    <w:rsid w:val="0003737F"/>
    <w:rsid w:val="00040DA5"/>
    <w:rsid w:val="0004123C"/>
    <w:rsid w:val="00041E55"/>
    <w:rsid w:val="00043813"/>
    <w:rsid w:val="000445EF"/>
    <w:rsid w:val="00044638"/>
    <w:rsid w:val="00047AB6"/>
    <w:rsid w:val="00054D1F"/>
    <w:rsid w:val="000558A2"/>
    <w:rsid w:val="00060A52"/>
    <w:rsid w:val="000614DC"/>
    <w:rsid w:val="00067883"/>
    <w:rsid w:val="00071EBD"/>
    <w:rsid w:val="000738EC"/>
    <w:rsid w:val="00083480"/>
    <w:rsid w:val="00087221"/>
    <w:rsid w:val="000930AC"/>
    <w:rsid w:val="000976DD"/>
    <w:rsid w:val="000A4BD1"/>
    <w:rsid w:val="000A564B"/>
    <w:rsid w:val="000B1932"/>
    <w:rsid w:val="000B1B0B"/>
    <w:rsid w:val="000B7C8F"/>
    <w:rsid w:val="000C6D35"/>
    <w:rsid w:val="000D0D3A"/>
    <w:rsid w:val="000D577A"/>
    <w:rsid w:val="000E143D"/>
    <w:rsid w:val="000E429C"/>
    <w:rsid w:val="000E61E2"/>
    <w:rsid w:val="000E6585"/>
    <w:rsid w:val="000F2481"/>
    <w:rsid w:val="000F3533"/>
    <w:rsid w:val="000F72A8"/>
    <w:rsid w:val="001038A5"/>
    <w:rsid w:val="00104349"/>
    <w:rsid w:val="001043C5"/>
    <w:rsid w:val="00105A43"/>
    <w:rsid w:val="00111AB4"/>
    <w:rsid w:val="00111E30"/>
    <w:rsid w:val="00111F84"/>
    <w:rsid w:val="001167FC"/>
    <w:rsid w:val="00117100"/>
    <w:rsid w:val="00120633"/>
    <w:rsid w:val="00120EB5"/>
    <w:rsid w:val="0012258D"/>
    <w:rsid w:val="0014339C"/>
    <w:rsid w:val="00153422"/>
    <w:rsid w:val="00153EA8"/>
    <w:rsid w:val="00154A0F"/>
    <w:rsid w:val="00157FA2"/>
    <w:rsid w:val="00160565"/>
    <w:rsid w:val="001634BC"/>
    <w:rsid w:val="00165CA0"/>
    <w:rsid w:val="00170185"/>
    <w:rsid w:val="00170AB6"/>
    <w:rsid w:val="00170E19"/>
    <w:rsid w:val="00173DA0"/>
    <w:rsid w:val="00174E6B"/>
    <w:rsid w:val="00181B9B"/>
    <w:rsid w:val="00184BF8"/>
    <w:rsid w:val="00185F53"/>
    <w:rsid w:val="001929D9"/>
    <w:rsid w:val="0019449B"/>
    <w:rsid w:val="00197245"/>
    <w:rsid w:val="001A0685"/>
    <w:rsid w:val="001A0A97"/>
    <w:rsid w:val="001A1870"/>
    <w:rsid w:val="001A2DE7"/>
    <w:rsid w:val="001A3750"/>
    <w:rsid w:val="001B0BC8"/>
    <w:rsid w:val="001B2E72"/>
    <w:rsid w:val="001B504F"/>
    <w:rsid w:val="001C52D7"/>
    <w:rsid w:val="001C5735"/>
    <w:rsid w:val="001D06BC"/>
    <w:rsid w:val="001D4814"/>
    <w:rsid w:val="001D632F"/>
    <w:rsid w:val="001E04AB"/>
    <w:rsid w:val="001E05EA"/>
    <w:rsid w:val="001E332C"/>
    <w:rsid w:val="001E3E88"/>
    <w:rsid w:val="001E54A3"/>
    <w:rsid w:val="001E657F"/>
    <w:rsid w:val="001E7801"/>
    <w:rsid w:val="001F1FE1"/>
    <w:rsid w:val="001F398C"/>
    <w:rsid w:val="001F4548"/>
    <w:rsid w:val="001F5589"/>
    <w:rsid w:val="001F5FC0"/>
    <w:rsid w:val="002001BB"/>
    <w:rsid w:val="00200AE3"/>
    <w:rsid w:val="00201E95"/>
    <w:rsid w:val="0020276E"/>
    <w:rsid w:val="00202ED8"/>
    <w:rsid w:val="0020543E"/>
    <w:rsid w:val="002066F9"/>
    <w:rsid w:val="00207714"/>
    <w:rsid w:val="00207C99"/>
    <w:rsid w:val="00207D66"/>
    <w:rsid w:val="00210373"/>
    <w:rsid w:val="00210CB1"/>
    <w:rsid w:val="002143C2"/>
    <w:rsid w:val="00220A55"/>
    <w:rsid w:val="0022195B"/>
    <w:rsid w:val="00222AE3"/>
    <w:rsid w:val="00222B9E"/>
    <w:rsid w:val="00224C6F"/>
    <w:rsid w:val="00224E8A"/>
    <w:rsid w:val="00225C71"/>
    <w:rsid w:val="0022630F"/>
    <w:rsid w:val="0022796B"/>
    <w:rsid w:val="00231896"/>
    <w:rsid w:val="00232EEF"/>
    <w:rsid w:val="0023347A"/>
    <w:rsid w:val="00234CBB"/>
    <w:rsid w:val="00235EB8"/>
    <w:rsid w:val="00237A89"/>
    <w:rsid w:val="00237C3A"/>
    <w:rsid w:val="00242B5F"/>
    <w:rsid w:val="00243E09"/>
    <w:rsid w:val="00246287"/>
    <w:rsid w:val="002462DF"/>
    <w:rsid w:val="00247A38"/>
    <w:rsid w:val="00252D60"/>
    <w:rsid w:val="00252D91"/>
    <w:rsid w:val="0025711E"/>
    <w:rsid w:val="002572BF"/>
    <w:rsid w:val="00261B20"/>
    <w:rsid w:val="00263AAC"/>
    <w:rsid w:val="00270D98"/>
    <w:rsid w:val="00272F9D"/>
    <w:rsid w:val="0027503B"/>
    <w:rsid w:val="002751F5"/>
    <w:rsid w:val="0028124A"/>
    <w:rsid w:val="00282D74"/>
    <w:rsid w:val="002862CD"/>
    <w:rsid w:val="00290C0C"/>
    <w:rsid w:val="002955CF"/>
    <w:rsid w:val="002959DC"/>
    <w:rsid w:val="00297C3A"/>
    <w:rsid w:val="002A30DD"/>
    <w:rsid w:val="002A3B82"/>
    <w:rsid w:val="002A49B7"/>
    <w:rsid w:val="002B064C"/>
    <w:rsid w:val="002B54CC"/>
    <w:rsid w:val="002B652A"/>
    <w:rsid w:val="002B6C39"/>
    <w:rsid w:val="002C1B51"/>
    <w:rsid w:val="002D0D1E"/>
    <w:rsid w:val="002D4A68"/>
    <w:rsid w:val="002D5980"/>
    <w:rsid w:val="002E7185"/>
    <w:rsid w:val="002F07AF"/>
    <w:rsid w:val="002F1F11"/>
    <w:rsid w:val="002F47E6"/>
    <w:rsid w:val="002F72A9"/>
    <w:rsid w:val="00306DDC"/>
    <w:rsid w:val="00307119"/>
    <w:rsid w:val="0031018D"/>
    <w:rsid w:val="003115D0"/>
    <w:rsid w:val="00312675"/>
    <w:rsid w:val="0031302A"/>
    <w:rsid w:val="00317247"/>
    <w:rsid w:val="00326042"/>
    <w:rsid w:val="003267EE"/>
    <w:rsid w:val="003269B6"/>
    <w:rsid w:val="00326D7F"/>
    <w:rsid w:val="0033245B"/>
    <w:rsid w:val="00334A4C"/>
    <w:rsid w:val="00334AB5"/>
    <w:rsid w:val="00335F9D"/>
    <w:rsid w:val="00336886"/>
    <w:rsid w:val="00337439"/>
    <w:rsid w:val="00345571"/>
    <w:rsid w:val="00346342"/>
    <w:rsid w:val="003512EF"/>
    <w:rsid w:val="00353274"/>
    <w:rsid w:val="00353AC1"/>
    <w:rsid w:val="003541AF"/>
    <w:rsid w:val="00366914"/>
    <w:rsid w:val="00366E87"/>
    <w:rsid w:val="00370BCA"/>
    <w:rsid w:val="00370D34"/>
    <w:rsid w:val="003770D6"/>
    <w:rsid w:val="00381ECE"/>
    <w:rsid w:val="003858D3"/>
    <w:rsid w:val="00385ACF"/>
    <w:rsid w:val="00387994"/>
    <w:rsid w:val="00390D40"/>
    <w:rsid w:val="00393DE3"/>
    <w:rsid w:val="00395A59"/>
    <w:rsid w:val="00397BC4"/>
    <w:rsid w:val="003A1DA0"/>
    <w:rsid w:val="003A514E"/>
    <w:rsid w:val="003A61ED"/>
    <w:rsid w:val="003B102C"/>
    <w:rsid w:val="003B292A"/>
    <w:rsid w:val="003B3AAE"/>
    <w:rsid w:val="003B481D"/>
    <w:rsid w:val="003B6850"/>
    <w:rsid w:val="003C07EF"/>
    <w:rsid w:val="003C1A6C"/>
    <w:rsid w:val="003C22F0"/>
    <w:rsid w:val="003C6CBB"/>
    <w:rsid w:val="003C7B87"/>
    <w:rsid w:val="003D2F21"/>
    <w:rsid w:val="003D3DC5"/>
    <w:rsid w:val="003D5BDA"/>
    <w:rsid w:val="003E01ED"/>
    <w:rsid w:val="003E0F59"/>
    <w:rsid w:val="003E125F"/>
    <w:rsid w:val="003F6AFB"/>
    <w:rsid w:val="00401198"/>
    <w:rsid w:val="0040626D"/>
    <w:rsid w:val="00414275"/>
    <w:rsid w:val="00415E0D"/>
    <w:rsid w:val="00416E2C"/>
    <w:rsid w:val="00417B77"/>
    <w:rsid w:val="00417C2E"/>
    <w:rsid w:val="00422D93"/>
    <w:rsid w:val="00423DEF"/>
    <w:rsid w:val="0042546A"/>
    <w:rsid w:val="0042726D"/>
    <w:rsid w:val="00432537"/>
    <w:rsid w:val="00433892"/>
    <w:rsid w:val="00435202"/>
    <w:rsid w:val="004355B7"/>
    <w:rsid w:val="00437B40"/>
    <w:rsid w:val="00440148"/>
    <w:rsid w:val="004405D9"/>
    <w:rsid w:val="00443DD9"/>
    <w:rsid w:val="00446283"/>
    <w:rsid w:val="00451D7A"/>
    <w:rsid w:val="00451F30"/>
    <w:rsid w:val="00455329"/>
    <w:rsid w:val="0046126E"/>
    <w:rsid w:val="00463F57"/>
    <w:rsid w:val="00464FA2"/>
    <w:rsid w:val="00466B5E"/>
    <w:rsid w:val="004674BF"/>
    <w:rsid w:val="00470E3F"/>
    <w:rsid w:val="00472913"/>
    <w:rsid w:val="00474D06"/>
    <w:rsid w:val="00481744"/>
    <w:rsid w:val="00481C83"/>
    <w:rsid w:val="004825C2"/>
    <w:rsid w:val="0049613E"/>
    <w:rsid w:val="004972DC"/>
    <w:rsid w:val="004A0986"/>
    <w:rsid w:val="004A282A"/>
    <w:rsid w:val="004A404C"/>
    <w:rsid w:val="004A6132"/>
    <w:rsid w:val="004A6D87"/>
    <w:rsid w:val="004A7B2B"/>
    <w:rsid w:val="004B1624"/>
    <w:rsid w:val="004B6969"/>
    <w:rsid w:val="004B74AC"/>
    <w:rsid w:val="004C5229"/>
    <w:rsid w:val="004E2138"/>
    <w:rsid w:val="004E2814"/>
    <w:rsid w:val="004E3217"/>
    <w:rsid w:val="004E4901"/>
    <w:rsid w:val="004E5FF5"/>
    <w:rsid w:val="004F5352"/>
    <w:rsid w:val="004F7D22"/>
    <w:rsid w:val="00500E21"/>
    <w:rsid w:val="005012B1"/>
    <w:rsid w:val="00501739"/>
    <w:rsid w:val="005029A6"/>
    <w:rsid w:val="0050374B"/>
    <w:rsid w:val="00504920"/>
    <w:rsid w:val="00505C31"/>
    <w:rsid w:val="0050717D"/>
    <w:rsid w:val="00507DE8"/>
    <w:rsid w:val="005110BA"/>
    <w:rsid w:val="00513697"/>
    <w:rsid w:val="00515DA0"/>
    <w:rsid w:val="00520035"/>
    <w:rsid w:val="00520B05"/>
    <w:rsid w:val="00523B69"/>
    <w:rsid w:val="00526CFF"/>
    <w:rsid w:val="00534DDE"/>
    <w:rsid w:val="00535FA0"/>
    <w:rsid w:val="0054124E"/>
    <w:rsid w:val="00544DE9"/>
    <w:rsid w:val="00545DA9"/>
    <w:rsid w:val="00546F99"/>
    <w:rsid w:val="00550B55"/>
    <w:rsid w:val="005517CF"/>
    <w:rsid w:val="00551BEE"/>
    <w:rsid w:val="0055291D"/>
    <w:rsid w:val="0055344A"/>
    <w:rsid w:val="005577A9"/>
    <w:rsid w:val="00557CB2"/>
    <w:rsid w:val="00557D56"/>
    <w:rsid w:val="00560DE5"/>
    <w:rsid w:val="00560FC9"/>
    <w:rsid w:val="005630C0"/>
    <w:rsid w:val="005674DB"/>
    <w:rsid w:val="0057166E"/>
    <w:rsid w:val="00571E22"/>
    <w:rsid w:val="00575FFA"/>
    <w:rsid w:val="00580038"/>
    <w:rsid w:val="00580FAD"/>
    <w:rsid w:val="00583512"/>
    <w:rsid w:val="005848B1"/>
    <w:rsid w:val="00593413"/>
    <w:rsid w:val="00595856"/>
    <w:rsid w:val="00595EF7"/>
    <w:rsid w:val="005A1478"/>
    <w:rsid w:val="005B053F"/>
    <w:rsid w:val="005B1D80"/>
    <w:rsid w:val="005B2238"/>
    <w:rsid w:val="005B4D54"/>
    <w:rsid w:val="005B6BFD"/>
    <w:rsid w:val="005B77A0"/>
    <w:rsid w:val="005C37DF"/>
    <w:rsid w:val="005C72AB"/>
    <w:rsid w:val="005C79B9"/>
    <w:rsid w:val="005D2500"/>
    <w:rsid w:val="005D3180"/>
    <w:rsid w:val="005D38AE"/>
    <w:rsid w:val="005D3E69"/>
    <w:rsid w:val="005D3F13"/>
    <w:rsid w:val="005E31F6"/>
    <w:rsid w:val="005E3C98"/>
    <w:rsid w:val="005E4FD6"/>
    <w:rsid w:val="005E70A2"/>
    <w:rsid w:val="005E7D2B"/>
    <w:rsid w:val="005F1BE1"/>
    <w:rsid w:val="005F564A"/>
    <w:rsid w:val="006000C1"/>
    <w:rsid w:val="00604893"/>
    <w:rsid w:val="0060524E"/>
    <w:rsid w:val="006059CC"/>
    <w:rsid w:val="0061046D"/>
    <w:rsid w:val="006145F7"/>
    <w:rsid w:val="006171F6"/>
    <w:rsid w:val="0062769B"/>
    <w:rsid w:val="006314E5"/>
    <w:rsid w:val="006326AF"/>
    <w:rsid w:val="006420F2"/>
    <w:rsid w:val="00642BCF"/>
    <w:rsid w:val="0064564A"/>
    <w:rsid w:val="0064679C"/>
    <w:rsid w:val="00646AA3"/>
    <w:rsid w:val="006509BB"/>
    <w:rsid w:val="00653503"/>
    <w:rsid w:val="00656B39"/>
    <w:rsid w:val="0066240B"/>
    <w:rsid w:val="006641B9"/>
    <w:rsid w:val="006667CB"/>
    <w:rsid w:val="006667FF"/>
    <w:rsid w:val="00670320"/>
    <w:rsid w:val="00672ABD"/>
    <w:rsid w:val="006731BF"/>
    <w:rsid w:val="00675289"/>
    <w:rsid w:val="0067718A"/>
    <w:rsid w:val="00683D61"/>
    <w:rsid w:val="00686985"/>
    <w:rsid w:val="0068753A"/>
    <w:rsid w:val="00691518"/>
    <w:rsid w:val="0069346C"/>
    <w:rsid w:val="006977B9"/>
    <w:rsid w:val="006A12DE"/>
    <w:rsid w:val="006A6314"/>
    <w:rsid w:val="006A6FCB"/>
    <w:rsid w:val="006A6FF9"/>
    <w:rsid w:val="006A7869"/>
    <w:rsid w:val="006B1680"/>
    <w:rsid w:val="006B2248"/>
    <w:rsid w:val="006B430F"/>
    <w:rsid w:val="006B7A97"/>
    <w:rsid w:val="006C1CE6"/>
    <w:rsid w:val="006C23C6"/>
    <w:rsid w:val="006C4F33"/>
    <w:rsid w:val="006C6199"/>
    <w:rsid w:val="006D0A93"/>
    <w:rsid w:val="006D726B"/>
    <w:rsid w:val="006E1089"/>
    <w:rsid w:val="006E275D"/>
    <w:rsid w:val="006E3756"/>
    <w:rsid w:val="006F2F89"/>
    <w:rsid w:val="006F4D53"/>
    <w:rsid w:val="006F50EF"/>
    <w:rsid w:val="00710EC8"/>
    <w:rsid w:val="007177BB"/>
    <w:rsid w:val="00720871"/>
    <w:rsid w:val="00720F92"/>
    <w:rsid w:val="0072344D"/>
    <w:rsid w:val="00723CFD"/>
    <w:rsid w:val="007267AF"/>
    <w:rsid w:val="007347C7"/>
    <w:rsid w:val="00737EAC"/>
    <w:rsid w:val="007404FB"/>
    <w:rsid w:val="00741F37"/>
    <w:rsid w:val="00745201"/>
    <w:rsid w:val="007453D9"/>
    <w:rsid w:val="00745B41"/>
    <w:rsid w:val="00745FAF"/>
    <w:rsid w:val="007474F7"/>
    <w:rsid w:val="007505DE"/>
    <w:rsid w:val="00751F8C"/>
    <w:rsid w:val="00754B4B"/>
    <w:rsid w:val="007554F0"/>
    <w:rsid w:val="00761A87"/>
    <w:rsid w:val="00766ED6"/>
    <w:rsid w:val="0076787C"/>
    <w:rsid w:val="0077712A"/>
    <w:rsid w:val="007837F0"/>
    <w:rsid w:val="00791DE1"/>
    <w:rsid w:val="00796A83"/>
    <w:rsid w:val="007A100C"/>
    <w:rsid w:val="007A2A4F"/>
    <w:rsid w:val="007A435D"/>
    <w:rsid w:val="007A55D3"/>
    <w:rsid w:val="007B11B6"/>
    <w:rsid w:val="007B3904"/>
    <w:rsid w:val="007B3F08"/>
    <w:rsid w:val="007B6F82"/>
    <w:rsid w:val="007D0C0E"/>
    <w:rsid w:val="007D1842"/>
    <w:rsid w:val="007E19FC"/>
    <w:rsid w:val="007E30B3"/>
    <w:rsid w:val="007E3ED4"/>
    <w:rsid w:val="007E520F"/>
    <w:rsid w:val="007E73DF"/>
    <w:rsid w:val="007E752B"/>
    <w:rsid w:val="007F01D7"/>
    <w:rsid w:val="007F2750"/>
    <w:rsid w:val="007F5D87"/>
    <w:rsid w:val="007F61D0"/>
    <w:rsid w:val="00800AC9"/>
    <w:rsid w:val="00806B81"/>
    <w:rsid w:val="008118CD"/>
    <w:rsid w:val="00814948"/>
    <w:rsid w:val="0081543D"/>
    <w:rsid w:val="00817CED"/>
    <w:rsid w:val="00826DB3"/>
    <w:rsid w:val="00827119"/>
    <w:rsid w:val="0082713B"/>
    <w:rsid w:val="008274D6"/>
    <w:rsid w:val="0082773B"/>
    <w:rsid w:val="00831035"/>
    <w:rsid w:val="00831527"/>
    <w:rsid w:val="00835057"/>
    <w:rsid w:val="00837BFC"/>
    <w:rsid w:val="00845021"/>
    <w:rsid w:val="008458EC"/>
    <w:rsid w:val="00845A03"/>
    <w:rsid w:val="00847121"/>
    <w:rsid w:val="0084762C"/>
    <w:rsid w:val="00850A03"/>
    <w:rsid w:val="00851050"/>
    <w:rsid w:val="00852503"/>
    <w:rsid w:val="008544EC"/>
    <w:rsid w:val="00856CC3"/>
    <w:rsid w:val="00857FD1"/>
    <w:rsid w:val="00860C43"/>
    <w:rsid w:val="00861046"/>
    <w:rsid w:val="00862DE9"/>
    <w:rsid w:val="00863EA9"/>
    <w:rsid w:val="00865D34"/>
    <w:rsid w:val="00865FD6"/>
    <w:rsid w:val="0086790C"/>
    <w:rsid w:val="00871CB0"/>
    <w:rsid w:val="00873E3E"/>
    <w:rsid w:val="00874826"/>
    <w:rsid w:val="00875DCA"/>
    <w:rsid w:val="00875F9F"/>
    <w:rsid w:val="00876EEC"/>
    <w:rsid w:val="00881D88"/>
    <w:rsid w:val="008822E3"/>
    <w:rsid w:val="008823D5"/>
    <w:rsid w:val="00882E8F"/>
    <w:rsid w:val="00882EFF"/>
    <w:rsid w:val="008851E2"/>
    <w:rsid w:val="00893474"/>
    <w:rsid w:val="00894CA5"/>
    <w:rsid w:val="00895D7C"/>
    <w:rsid w:val="008973EA"/>
    <w:rsid w:val="008976DE"/>
    <w:rsid w:val="00897FD3"/>
    <w:rsid w:val="008A3512"/>
    <w:rsid w:val="008A3DE9"/>
    <w:rsid w:val="008A5B84"/>
    <w:rsid w:val="008B1480"/>
    <w:rsid w:val="008B4980"/>
    <w:rsid w:val="008B709B"/>
    <w:rsid w:val="008C0338"/>
    <w:rsid w:val="008C651F"/>
    <w:rsid w:val="008D634E"/>
    <w:rsid w:val="008D6465"/>
    <w:rsid w:val="008D6ED1"/>
    <w:rsid w:val="008E3B90"/>
    <w:rsid w:val="008E3FE3"/>
    <w:rsid w:val="008E7313"/>
    <w:rsid w:val="008F1A1B"/>
    <w:rsid w:val="008F2391"/>
    <w:rsid w:val="008F4963"/>
    <w:rsid w:val="0090227F"/>
    <w:rsid w:val="00907D64"/>
    <w:rsid w:val="009143B6"/>
    <w:rsid w:val="009147E7"/>
    <w:rsid w:val="00915C31"/>
    <w:rsid w:val="00916ADC"/>
    <w:rsid w:val="00921992"/>
    <w:rsid w:val="009222C0"/>
    <w:rsid w:val="00931536"/>
    <w:rsid w:val="0093286A"/>
    <w:rsid w:val="00937CC4"/>
    <w:rsid w:val="009416C9"/>
    <w:rsid w:val="009417FD"/>
    <w:rsid w:val="00942552"/>
    <w:rsid w:val="00952F87"/>
    <w:rsid w:val="0095592B"/>
    <w:rsid w:val="009562CC"/>
    <w:rsid w:val="009572FE"/>
    <w:rsid w:val="00960BD9"/>
    <w:rsid w:val="009612C0"/>
    <w:rsid w:val="0097138E"/>
    <w:rsid w:val="00971960"/>
    <w:rsid w:val="00972008"/>
    <w:rsid w:val="00975CA9"/>
    <w:rsid w:val="00981DC1"/>
    <w:rsid w:val="009833DF"/>
    <w:rsid w:val="00986724"/>
    <w:rsid w:val="00990E21"/>
    <w:rsid w:val="00996BF7"/>
    <w:rsid w:val="009A2DEC"/>
    <w:rsid w:val="009B0B47"/>
    <w:rsid w:val="009B0F7B"/>
    <w:rsid w:val="009B16B9"/>
    <w:rsid w:val="009B1C74"/>
    <w:rsid w:val="009C041B"/>
    <w:rsid w:val="009C1AAA"/>
    <w:rsid w:val="009C3F8C"/>
    <w:rsid w:val="009C5354"/>
    <w:rsid w:val="009C5EC3"/>
    <w:rsid w:val="009C6C54"/>
    <w:rsid w:val="009D0C43"/>
    <w:rsid w:val="009D2A5A"/>
    <w:rsid w:val="009D729B"/>
    <w:rsid w:val="009E33EE"/>
    <w:rsid w:val="009F196D"/>
    <w:rsid w:val="009F5642"/>
    <w:rsid w:val="009F7F1A"/>
    <w:rsid w:val="00A01246"/>
    <w:rsid w:val="00A04999"/>
    <w:rsid w:val="00A10508"/>
    <w:rsid w:val="00A1229D"/>
    <w:rsid w:val="00A175E2"/>
    <w:rsid w:val="00A200F9"/>
    <w:rsid w:val="00A33729"/>
    <w:rsid w:val="00A36712"/>
    <w:rsid w:val="00A37EEB"/>
    <w:rsid w:val="00A43CC9"/>
    <w:rsid w:val="00A4604E"/>
    <w:rsid w:val="00A501B7"/>
    <w:rsid w:val="00A50BF0"/>
    <w:rsid w:val="00A524CB"/>
    <w:rsid w:val="00A52B12"/>
    <w:rsid w:val="00A610D6"/>
    <w:rsid w:val="00A6241E"/>
    <w:rsid w:val="00A638F4"/>
    <w:rsid w:val="00A66124"/>
    <w:rsid w:val="00A66403"/>
    <w:rsid w:val="00A7037E"/>
    <w:rsid w:val="00A70A12"/>
    <w:rsid w:val="00A770D7"/>
    <w:rsid w:val="00A77104"/>
    <w:rsid w:val="00A81AF1"/>
    <w:rsid w:val="00A81D4B"/>
    <w:rsid w:val="00A85B05"/>
    <w:rsid w:val="00A8724B"/>
    <w:rsid w:val="00A90FA5"/>
    <w:rsid w:val="00A91517"/>
    <w:rsid w:val="00A95734"/>
    <w:rsid w:val="00A96657"/>
    <w:rsid w:val="00AA20A2"/>
    <w:rsid w:val="00AA2423"/>
    <w:rsid w:val="00AA519D"/>
    <w:rsid w:val="00AA6785"/>
    <w:rsid w:val="00AA7866"/>
    <w:rsid w:val="00AB1252"/>
    <w:rsid w:val="00AB44E4"/>
    <w:rsid w:val="00AC0984"/>
    <w:rsid w:val="00AC3F18"/>
    <w:rsid w:val="00AC5A4A"/>
    <w:rsid w:val="00AC7FE3"/>
    <w:rsid w:val="00AD1008"/>
    <w:rsid w:val="00AD4065"/>
    <w:rsid w:val="00AD56BF"/>
    <w:rsid w:val="00AD7D30"/>
    <w:rsid w:val="00AE084D"/>
    <w:rsid w:val="00AE12B0"/>
    <w:rsid w:val="00AE2B22"/>
    <w:rsid w:val="00AE68C3"/>
    <w:rsid w:val="00AE724F"/>
    <w:rsid w:val="00AF3388"/>
    <w:rsid w:val="00AF62B9"/>
    <w:rsid w:val="00B007EC"/>
    <w:rsid w:val="00B01A97"/>
    <w:rsid w:val="00B04139"/>
    <w:rsid w:val="00B077AB"/>
    <w:rsid w:val="00B1680A"/>
    <w:rsid w:val="00B235E5"/>
    <w:rsid w:val="00B24265"/>
    <w:rsid w:val="00B2560D"/>
    <w:rsid w:val="00B25FAE"/>
    <w:rsid w:val="00B26989"/>
    <w:rsid w:val="00B408D7"/>
    <w:rsid w:val="00B4423E"/>
    <w:rsid w:val="00B52529"/>
    <w:rsid w:val="00B52FAD"/>
    <w:rsid w:val="00B53CC3"/>
    <w:rsid w:val="00B53E76"/>
    <w:rsid w:val="00B55A76"/>
    <w:rsid w:val="00B61B0A"/>
    <w:rsid w:val="00B664BA"/>
    <w:rsid w:val="00B7391E"/>
    <w:rsid w:val="00B75FAD"/>
    <w:rsid w:val="00B77D50"/>
    <w:rsid w:val="00B861DF"/>
    <w:rsid w:val="00B86543"/>
    <w:rsid w:val="00B867B0"/>
    <w:rsid w:val="00B92B99"/>
    <w:rsid w:val="00BA4792"/>
    <w:rsid w:val="00BA5DD1"/>
    <w:rsid w:val="00BA5E40"/>
    <w:rsid w:val="00BB3939"/>
    <w:rsid w:val="00BB4485"/>
    <w:rsid w:val="00BB72FC"/>
    <w:rsid w:val="00BC11B1"/>
    <w:rsid w:val="00BC1A2F"/>
    <w:rsid w:val="00BC21C2"/>
    <w:rsid w:val="00BC74C3"/>
    <w:rsid w:val="00BC78B5"/>
    <w:rsid w:val="00BC7BF0"/>
    <w:rsid w:val="00BD2F97"/>
    <w:rsid w:val="00BD7456"/>
    <w:rsid w:val="00BE1AC4"/>
    <w:rsid w:val="00BE54B1"/>
    <w:rsid w:val="00BE5CF8"/>
    <w:rsid w:val="00BF0201"/>
    <w:rsid w:val="00BF1472"/>
    <w:rsid w:val="00BF24B8"/>
    <w:rsid w:val="00BF2812"/>
    <w:rsid w:val="00BF634E"/>
    <w:rsid w:val="00C05F76"/>
    <w:rsid w:val="00C06363"/>
    <w:rsid w:val="00C112DC"/>
    <w:rsid w:val="00C12981"/>
    <w:rsid w:val="00C157E7"/>
    <w:rsid w:val="00C16D10"/>
    <w:rsid w:val="00C258FE"/>
    <w:rsid w:val="00C2632D"/>
    <w:rsid w:val="00C3656D"/>
    <w:rsid w:val="00C37EC6"/>
    <w:rsid w:val="00C4073D"/>
    <w:rsid w:val="00C45946"/>
    <w:rsid w:val="00C46B5C"/>
    <w:rsid w:val="00C50A5A"/>
    <w:rsid w:val="00C52AAB"/>
    <w:rsid w:val="00C6079E"/>
    <w:rsid w:val="00C65B99"/>
    <w:rsid w:val="00C66C06"/>
    <w:rsid w:val="00C723BE"/>
    <w:rsid w:val="00C72D42"/>
    <w:rsid w:val="00C73007"/>
    <w:rsid w:val="00C735FC"/>
    <w:rsid w:val="00C73EEA"/>
    <w:rsid w:val="00C77903"/>
    <w:rsid w:val="00C80007"/>
    <w:rsid w:val="00C87E0D"/>
    <w:rsid w:val="00C92209"/>
    <w:rsid w:val="00CA5F63"/>
    <w:rsid w:val="00CA5FD7"/>
    <w:rsid w:val="00CB3EBB"/>
    <w:rsid w:val="00CB4CC5"/>
    <w:rsid w:val="00CB6C3C"/>
    <w:rsid w:val="00CC2143"/>
    <w:rsid w:val="00CC2A56"/>
    <w:rsid w:val="00CC3491"/>
    <w:rsid w:val="00CC3C54"/>
    <w:rsid w:val="00CC662A"/>
    <w:rsid w:val="00CD06EA"/>
    <w:rsid w:val="00CD1935"/>
    <w:rsid w:val="00CD27F6"/>
    <w:rsid w:val="00CD5048"/>
    <w:rsid w:val="00CD6B12"/>
    <w:rsid w:val="00CD7813"/>
    <w:rsid w:val="00CE08B9"/>
    <w:rsid w:val="00CE1367"/>
    <w:rsid w:val="00CE2833"/>
    <w:rsid w:val="00CE392D"/>
    <w:rsid w:val="00CE3CAA"/>
    <w:rsid w:val="00CE5AC3"/>
    <w:rsid w:val="00CE65E6"/>
    <w:rsid w:val="00CF0795"/>
    <w:rsid w:val="00CF17BE"/>
    <w:rsid w:val="00CF1FA9"/>
    <w:rsid w:val="00CF2978"/>
    <w:rsid w:val="00CF37F6"/>
    <w:rsid w:val="00CF38DB"/>
    <w:rsid w:val="00CF55E8"/>
    <w:rsid w:val="00D0537C"/>
    <w:rsid w:val="00D06EFA"/>
    <w:rsid w:val="00D10CD4"/>
    <w:rsid w:val="00D1548A"/>
    <w:rsid w:val="00D203CF"/>
    <w:rsid w:val="00D23D48"/>
    <w:rsid w:val="00D2731A"/>
    <w:rsid w:val="00D30814"/>
    <w:rsid w:val="00D308CE"/>
    <w:rsid w:val="00D31BAB"/>
    <w:rsid w:val="00D3214F"/>
    <w:rsid w:val="00D33B2D"/>
    <w:rsid w:val="00D35B6E"/>
    <w:rsid w:val="00D361D9"/>
    <w:rsid w:val="00D37308"/>
    <w:rsid w:val="00D37DCC"/>
    <w:rsid w:val="00D51DED"/>
    <w:rsid w:val="00D5705A"/>
    <w:rsid w:val="00D63162"/>
    <w:rsid w:val="00D7426F"/>
    <w:rsid w:val="00D773D5"/>
    <w:rsid w:val="00D77D5A"/>
    <w:rsid w:val="00D87FE7"/>
    <w:rsid w:val="00D90CE3"/>
    <w:rsid w:val="00D91C1B"/>
    <w:rsid w:val="00D923DE"/>
    <w:rsid w:val="00D9284B"/>
    <w:rsid w:val="00D940F7"/>
    <w:rsid w:val="00DA361F"/>
    <w:rsid w:val="00DA4910"/>
    <w:rsid w:val="00DA700B"/>
    <w:rsid w:val="00DA7F66"/>
    <w:rsid w:val="00DB534F"/>
    <w:rsid w:val="00DC03D1"/>
    <w:rsid w:val="00DC1274"/>
    <w:rsid w:val="00DC2923"/>
    <w:rsid w:val="00DC2AA6"/>
    <w:rsid w:val="00DC6E25"/>
    <w:rsid w:val="00DC7C5D"/>
    <w:rsid w:val="00DD3D58"/>
    <w:rsid w:val="00DD4437"/>
    <w:rsid w:val="00DD478B"/>
    <w:rsid w:val="00DD5035"/>
    <w:rsid w:val="00DD54A1"/>
    <w:rsid w:val="00DE093E"/>
    <w:rsid w:val="00DE0B50"/>
    <w:rsid w:val="00DE2033"/>
    <w:rsid w:val="00DF1B77"/>
    <w:rsid w:val="00DF2E03"/>
    <w:rsid w:val="00DF5895"/>
    <w:rsid w:val="00E007D6"/>
    <w:rsid w:val="00E012ED"/>
    <w:rsid w:val="00E01807"/>
    <w:rsid w:val="00E01E91"/>
    <w:rsid w:val="00E06695"/>
    <w:rsid w:val="00E067A6"/>
    <w:rsid w:val="00E104CA"/>
    <w:rsid w:val="00E12989"/>
    <w:rsid w:val="00E15173"/>
    <w:rsid w:val="00E161E2"/>
    <w:rsid w:val="00E22B3A"/>
    <w:rsid w:val="00E25C1D"/>
    <w:rsid w:val="00E27696"/>
    <w:rsid w:val="00E36FC3"/>
    <w:rsid w:val="00E4326C"/>
    <w:rsid w:val="00E4394E"/>
    <w:rsid w:val="00E43C16"/>
    <w:rsid w:val="00E4450C"/>
    <w:rsid w:val="00E61FCB"/>
    <w:rsid w:val="00E63BEA"/>
    <w:rsid w:val="00E67147"/>
    <w:rsid w:val="00E707FA"/>
    <w:rsid w:val="00E709E3"/>
    <w:rsid w:val="00E71E4F"/>
    <w:rsid w:val="00E75CF9"/>
    <w:rsid w:val="00E80C91"/>
    <w:rsid w:val="00E8138E"/>
    <w:rsid w:val="00E849FA"/>
    <w:rsid w:val="00E85D6E"/>
    <w:rsid w:val="00E913DB"/>
    <w:rsid w:val="00E91CED"/>
    <w:rsid w:val="00EA0425"/>
    <w:rsid w:val="00EA0E2F"/>
    <w:rsid w:val="00EA256C"/>
    <w:rsid w:val="00EA63BD"/>
    <w:rsid w:val="00EA6DE6"/>
    <w:rsid w:val="00EB31D4"/>
    <w:rsid w:val="00EB37B0"/>
    <w:rsid w:val="00EB43F2"/>
    <w:rsid w:val="00EB61DB"/>
    <w:rsid w:val="00EC453F"/>
    <w:rsid w:val="00EC560C"/>
    <w:rsid w:val="00EC57BE"/>
    <w:rsid w:val="00EC65A6"/>
    <w:rsid w:val="00EC6796"/>
    <w:rsid w:val="00ED268F"/>
    <w:rsid w:val="00ED26E7"/>
    <w:rsid w:val="00ED5B19"/>
    <w:rsid w:val="00EE150C"/>
    <w:rsid w:val="00EE25F7"/>
    <w:rsid w:val="00EE376D"/>
    <w:rsid w:val="00EE4257"/>
    <w:rsid w:val="00EE566A"/>
    <w:rsid w:val="00EE67C7"/>
    <w:rsid w:val="00EF17FE"/>
    <w:rsid w:val="00EF28C4"/>
    <w:rsid w:val="00EF4AEB"/>
    <w:rsid w:val="00EF4FB0"/>
    <w:rsid w:val="00F047DA"/>
    <w:rsid w:val="00F100F1"/>
    <w:rsid w:val="00F10F51"/>
    <w:rsid w:val="00F11F27"/>
    <w:rsid w:val="00F201EE"/>
    <w:rsid w:val="00F22893"/>
    <w:rsid w:val="00F23BE8"/>
    <w:rsid w:val="00F24ACF"/>
    <w:rsid w:val="00F330B5"/>
    <w:rsid w:val="00F40430"/>
    <w:rsid w:val="00F431CD"/>
    <w:rsid w:val="00F45C1A"/>
    <w:rsid w:val="00F472AF"/>
    <w:rsid w:val="00F51711"/>
    <w:rsid w:val="00F53C25"/>
    <w:rsid w:val="00F53E60"/>
    <w:rsid w:val="00F5563F"/>
    <w:rsid w:val="00F57C9F"/>
    <w:rsid w:val="00F657EA"/>
    <w:rsid w:val="00F70E38"/>
    <w:rsid w:val="00F75AA7"/>
    <w:rsid w:val="00F828C0"/>
    <w:rsid w:val="00F92F90"/>
    <w:rsid w:val="00F942BF"/>
    <w:rsid w:val="00FA15DD"/>
    <w:rsid w:val="00FA337B"/>
    <w:rsid w:val="00FB38EA"/>
    <w:rsid w:val="00FB47DB"/>
    <w:rsid w:val="00FB4ABA"/>
    <w:rsid w:val="00FB54B3"/>
    <w:rsid w:val="00FB6030"/>
    <w:rsid w:val="00FB7075"/>
    <w:rsid w:val="00FC2F15"/>
    <w:rsid w:val="00FC3D86"/>
    <w:rsid w:val="00FC75E8"/>
    <w:rsid w:val="00FD4E78"/>
    <w:rsid w:val="00FD7A52"/>
    <w:rsid w:val="00FE1081"/>
    <w:rsid w:val="00FE3C02"/>
    <w:rsid w:val="00FE4D84"/>
    <w:rsid w:val="00FE6DE4"/>
    <w:rsid w:val="00FE724C"/>
    <w:rsid w:val="00FE7B0E"/>
    <w:rsid w:val="00FF620B"/>
    <w:rsid w:val="00FF6804"/>
    <w:rsid w:val="02ED089D"/>
    <w:rsid w:val="033D5894"/>
    <w:rsid w:val="03626293"/>
    <w:rsid w:val="03A27233"/>
    <w:rsid w:val="044B1BAE"/>
    <w:rsid w:val="05322E93"/>
    <w:rsid w:val="060F3D97"/>
    <w:rsid w:val="074840FA"/>
    <w:rsid w:val="088274F0"/>
    <w:rsid w:val="0C486C3D"/>
    <w:rsid w:val="0E995341"/>
    <w:rsid w:val="1318123A"/>
    <w:rsid w:val="17AE1DFC"/>
    <w:rsid w:val="180F79FB"/>
    <w:rsid w:val="184D0A92"/>
    <w:rsid w:val="197F0483"/>
    <w:rsid w:val="1A61272E"/>
    <w:rsid w:val="1B562D3C"/>
    <w:rsid w:val="1ED1025B"/>
    <w:rsid w:val="1FBB5A57"/>
    <w:rsid w:val="1FD6064B"/>
    <w:rsid w:val="21C05344"/>
    <w:rsid w:val="287265EE"/>
    <w:rsid w:val="2AF96A1B"/>
    <w:rsid w:val="2B8B28FE"/>
    <w:rsid w:val="2CDE460F"/>
    <w:rsid w:val="2D1C26EA"/>
    <w:rsid w:val="2DE6162F"/>
    <w:rsid w:val="30C621EF"/>
    <w:rsid w:val="31257CF4"/>
    <w:rsid w:val="35DB3540"/>
    <w:rsid w:val="39C421D4"/>
    <w:rsid w:val="3A201A7E"/>
    <w:rsid w:val="42DE2DA6"/>
    <w:rsid w:val="437E649A"/>
    <w:rsid w:val="44CA0A24"/>
    <w:rsid w:val="44E16DD1"/>
    <w:rsid w:val="47266771"/>
    <w:rsid w:val="535541AB"/>
    <w:rsid w:val="545D195F"/>
    <w:rsid w:val="55F30E30"/>
    <w:rsid w:val="56660170"/>
    <w:rsid w:val="5DB13D45"/>
    <w:rsid w:val="5E4D0988"/>
    <w:rsid w:val="5EA74840"/>
    <w:rsid w:val="623B30C1"/>
    <w:rsid w:val="648D7E5C"/>
    <w:rsid w:val="64CB77E9"/>
    <w:rsid w:val="7239668B"/>
    <w:rsid w:val="7271630D"/>
    <w:rsid w:val="789833E9"/>
    <w:rsid w:val="79E664B5"/>
    <w:rsid w:val="7A587595"/>
    <w:rsid w:val="7C236AD1"/>
    <w:rsid w:val="7D847A00"/>
    <w:rsid w:val="7E6137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9"/>
    <w:pPr>
      <w:keepNext/>
      <w:keepLines/>
      <w:spacing w:line="720" w:lineRule="exact"/>
      <w:jc w:val="center"/>
      <w:outlineLvl w:val="0"/>
    </w:pPr>
    <w:rPr>
      <w:rFonts w:eastAsia="方正小标宋简体"/>
      <w:bCs/>
      <w:kern w:val="44"/>
      <w:sz w:val="44"/>
      <w:szCs w:val="44"/>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43"/>
    <w:semiHidden/>
    <w:unhideWhenUsed/>
    <w:qFormat/>
    <w:uiPriority w:val="99"/>
    <w:rPr>
      <w:sz w:val="18"/>
      <w:szCs w:val="18"/>
    </w:rPr>
  </w:style>
  <w:style w:type="paragraph" w:styleId="4">
    <w:name w:val="footer"/>
    <w:basedOn w:val="1"/>
    <w:link w:val="23"/>
    <w:semiHidden/>
    <w:unhideWhenUsed/>
    <w:qFormat/>
    <w:uiPriority w:val="99"/>
    <w:pPr>
      <w:tabs>
        <w:tab w:val="center" w:pos="4153"/>
        <w:tab w:val="right" w:pos="8306"/>
      </w:tabs>
      <w:snapToGrid w:val="0"/>
      <w:spacing w:line="240" w:lineRule="atLeast"/>
      <w:jc w:val="left"/>
    </w:pPr>
    <w:rPr>
      <w:sz w:val="18"/>
      <w:szCs w:val="18"/>
    </w:rPr>
  </w:style>
  <w:style w:type="paragraph" w:styleId="5">
    <w:name w:val="header"/>
    <w:basedOn w:val="1"/>
    <w:link w:val="22"/>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6">
    <w:name w:val="Subtitle"/>
    <w:basedOn w:val="1"/>
    <w:next w:val="1"/>
    <w:link w:val="17"/>
    <w:qFormat/>
    <w:uiPriority w:val="11"/>
    <w:pPr>
      <w:spacing w:line="560" w:lineRule="exact"/>
    </w:pPr>
    <w:rPr>
      <w:rFonts w:eastAsia="黑体"/>
      <w:bCs/>
      <w:kern w:val="28"/>
      <w:sz w:val="32"/>
      <w:szCs w:val="32"/>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8">
    <w:name w:val="Title"/>
    <w:basedOn w:val="1"/>
    <w:next w:val="1"/>
    <w:link w:val="16"/>
    <w:qFormat/>
    <w:uiPriority w:val="10"/>
    <w:pPr>
      <w:spacing w:line="720" w:lineRule="exact"/>
      <w:jc w:val="center"/>
    </w:pPr>
    <w:rPr>
      <w:rFonts w:eastAsia="方正小标宋简体"/>
      <w:bCs/>
      <w:sz w:val="44"/>
      <w:szCs w:val="32"/>
    </w:rPr>
  </w:style>
  <w:style w:type="character" w:customStyle="1" w:styleId="11">
    <w:name w:val="标题 1 字符"/>
    <w:link w:val="2"/>
    <w:qFormat/>
    <w:uiPriority w:val="9"/>
    <w:rPr>
      <w:rFonts w:ascii="Times New Roman" w:hAnsi="Times New Roman" w:eastAsia="方正小标宋简体"/>
      <w:bCs/>
      <w:kern w:val="44"/>
      <w:sz w:val="44"/>
      <w:szCs w:val="44"/>
    </w:rPr>
  </w:style>
  <w:style w:type="paragraph" w:customStyle="1" w:styleId="12">
    <w:name w:val="办公会材料"/>
    <w:basedOn w:val="1"/>
    <w:link w:val="13"/>
    <w:qFormat/>
    <w:uiPriority w:val="0"/>
    <w:pPr>
      <w:spacing w:line="520" w:lineRule="exact"/>
      <w:ind w:firstLine="200" w:firstLineChars="200"/>
    </w:pPr>
    <w:rPr>
      <w:rFonts w:eastAsia="仿宋_GB2312"/>
      <w:snapToGrid w:val="0"/>
      <w:color w:val="000000"/>
      <w:kern w:val="0"/>
      <w:sz w:val="28"/>
      <w:szCs w:val="28"/>
    </w:rPr>
  </w:style>
  <w:style w:type="character" w:customStyle="1" w:styleId="13">
    <w:name w:val="办公会材料 Char"/>
    <w:link w:val="12"/>
    <w:qFormat/>
    <w:uiPriority w:val="0"/>
    <w:rPr>
      <w:rFonts w:eastAsia="仿宋_GB2312"/>
      <w:snapToGrid w:val="0"/>
      <w:color w:val="000000"/>
      <w:sz w:val="28"/>
      <w:szCs w:val="28"/>
    </w:rPr>
  </w:style>
  <w:style w:type="paragraph" w:customStyle="1" w:styleId="14">
    <w:name w:val="公文正文"/>
    <w:basedOn w:val="1"/>
    <w:link w:val="15"/>
    <w:qFormat/>
    <w:uiPriority w:val="0"/>
    <w:pPr>
      <w:spacing w:line="560" w:lineRule="exact"/>
      <w:ind w:firstLine="200" w:firstLineChars="200"/>
    </w:pPr>
    <w:rPr>
      <w:rFonts w:eastAsia="仿宋_GB2312"/>
      <w:sz w:val="32"/>
      <w:szCs w:val="32"/>
    </w:rPr>
  </w:style>
  <w:style w:type="character" w:customStyle="1" w:styleId="15">
    <w:name w:val="公文正文 Char"/>
    <w:link w:val="14"/>
    <w:qFormat/>
    <w:uiPriority w:val="0"/>
    <w:rPr>
      <w:rFonts w:eastAsia="仿宋_GB2312"/>
      <w:kern w:val="2"/>
      <w:sz w:val="32"/>
      <w:szCs w:val="32"/>
    </w:rPr>
  </w:style>
  <w:style w:type="character" w:customStyle="1" w:styleId="16">
    <w:name w:val="标题 字符"/>
    <w:link w:val="8"/>
    <w:qFormat/>
    <w:uiPriority w:val="10"/>
    <w:rPr>
      <w:rFonts w:eastAsia="方正小标宋简体" w:cs="Times New Roman"/>
      <w:bCs/>
      <w:sz w:val="44"/>
      <w:szCs w:val="32"/>
    </w:rPr>
  </w:style>
  <w:style w:type="character" w:customStyle="1" w:styleId="17">
    <w:name w:val="副标题 字符"/>
    <w:link w:val="6"/>
    <w:qFormat/>
    <w:uiPriority w:val="11"/>
    <w:rPr>
      <w:rFonts w:eastAsia="黑体" w:cs="Times New Roman"/>
      <w:bCs/>
      <w:kern w:val="28"/>
      <w:sz w:val="32"/>
      <w:szCs w:val="32"/>
    </w:rPr>
  </w:style>
  <w:style w:type="paragraph" w:customStyle="1" w:styleId="18">
    <w:name w:val="a公文标题"/>
    <w:basedOn w:val="1"/>
    <w:link w:val="19"/>
    <w:qFormat/>
    <w:uiPriority w:val="0"/>
    <w:pPr>
      <w:spacing w:line="720" w:lineRule="exact"/>
      <w:jc w:val="center"/>
    </w:pPr>
    <w:rPr>
      <w:rFonts w:eastAsia="方正小标宋简体"/>
      <w:sz w:val="44"/>
      <w:szCs w:val="32"/>
    </w:rPr>
  </w:style>
  <w:style w:type="character" w:customStyle="1" w:styleId="19">
    <w:name w:val="a公文标题 Char"/>
    <w:link w:val="18"/>
    <w:qFormat/>
    <w:uiPriority w:val="0"/>
    <w:rPr>
      <w:rFonts w:eastAsia="方正小标宋简体"/>
      <w:kern w:val="2"/>
      <w:sz w:val="44"/>
      <w:szCs w:val="32"/>
    </w:rPr>
  </w:style>
  <w:style w:type="paragraph" w:customStyle="1" w:styleId="20">
    <w:name w:val="材料标题"/>
    <w:basedOn w:val="1"/>
    <w:link w:val="21"/>
    <w:qFormat/>
    <w:uiPriority w:val="0"/>
    <w:pPr>
      <w:spacing w:line="520" w:lineRule="exact"/>
      <w:ind w:firstLine="200" w:firstLineChars="200"/>
    </w:pPr>
    <w:rPr>
      <w:rFonts w:eastAsia="黑体"/>
      <w:sz w:val="28"/>
      <w:szCs w:val="28"/>
    </w:rPr>
  </w:style>
  <w:style w:type="character" w:customStyle="1" w:styleId="21">
    <w:name w:val="材料标题 Char"/>
    <w:link w:val="20"/>
    <w:qFormat/>
    <w:uiPriority w:val="0"/>
    <w:rPr>
      <w:rFonts w:ascii="Calibri" w:hAnsi="Calibri" w:eastAsia="黑体"/>
      <w:kern w:val="2"/>
      <w:sz w:val="28"/>
      <w:szCs w:val="28"/>
    </w:rPr>
  </w:style>
  <w:style w:type="character" w:customStyle="1" w:styleId="22">
    <w:name w:val="页眉 字符"/>
    <w:link w:val="5"/>
    <w:qFormat/>
    <w:uiPriority w:val="99"/>
    <w:rPr>
      <w:rFonts w:eastAsia="Times New Roman"/>
      <w:sz w:val="18"/>
      <w:szCs w:val="18"/>
    </w:rPr>
  </w:style>
  <w:style w:type="character" w:customStyle="1" w:styleId="23">
    <w:name w:val="页脚 字符"/>
    <w:link w:val="4"/>
    <w:semiHidden/>
    <w:qFormat/>
    <w:uiPriority w:val="99"/>
    <w:rPr>
      <w:rFonts w:eastAsia="Times New Roman"/>
      <w:sz w:val="18"/>
      <w:szCs w:val="18"/>
    </w:rPr>
  </w:style>
  <w:style w:type="paragraph" w:customStyle="1" w:styleId="24">
    <w:name w:val="b日期格式"/>
    <w:basedOn w:val="25"/>
    <w:link w:val="26"/>
    <w:qFormat/>
    <w:uiPriority w:val="0"/>
    <w:pPr>
      <w:ind w:right="1260" w:rightChars="600" w:firstLine="560"/>
      <w:jc w:val="right"/>
    </w:pPr>
  </w:style>
  <w:style w:type="paragraph" w:customStyle="1" w:styleId="25">
    <w:name w:val="材料正文"/>
    <w:basedOn w:val="1"/>
    <w:link w:val="27"/>
    <w:qFormat/>
    <w:uiPriority w:val="0"/>
    <w:pPr>
      <w:spacing w:line="520" w:lineRule="exact"/>
      <w:ind w:firstLine="200" w:firstLineChars="200"/>
    </w:pPr>
    <w:rPr>
      <w:rFonts w:eastAsia="仿宋_GB2312"/>
      <w:snapToGrid w:val="0"/>
      <w:color w:val="000000"/>
      <w:kern w:val="0"/>
      <w:sz w:val="28"/>
      <w:szCs w:val="28"/>
    </w:rPr>
  </w:style>
  <w:style w:type="character" w:customStyle="1" w:styleId="26">
    <w:name w:val="b日期格式 Char"/>
    <w:basedOn w:val="27"/>
    <w:link w:val="24"/>
    <w:qFormat/>
    <w:uiPriority w:val="0"/>
    <w:rPr>
      <w:rFonts w:eastAsia="仿宋_GB2312"/>
      <w:snapToGrid w:val="0"/>
      <w:color w:val="000000"/>
      <w:sz w:val="28"/>
      <w:szCs w:val="28"/>
    </w:rPr>
  </w:style>
  <w:style w:type="character" w:customStyle="1" w:styleId="27">
    <w:name w:val="材料正文 Char"/>
    <w:link w:val="25"/>
    <w:qFormat/>
    <w:uiPriority w:val="0"/>
    <w:rPr>
      <w:rFonts w:eastAsia="仿宋_GB2312"/>
      <w:snapToGrid w:val="0"/>
      <w:color w:val="000000"/>
      <w:sz w:val="28"/>
      <w:szCs w:val="28"/>
    </w:rPr>
  </w:style>
  <w:style w:type="paragraph" w:customStyle="1" w:styleId="28">
    <w:name w:val="章程小标题"/>
    <w:basedOn w:val="12"/>
    <w:link w:val="29"/>
    <w:qFormat/>
    <w:uiPriority w:val="0"/>
    <w:pPr>
      <w:spacing w:beforeLines="100" w:afterLines="100"/>
      <w:ind w:firstLine="0" w:firstLineChars="0"/>
      <w:jc w:val="center"/>
    </w:pPr>
    <w:rPr>
      <w:rFonts w:ascii="方正小标宋简体" w:eastAsia="方正小标宋简体"/>
      <w:szCs w:val="32"/>
    </w:rPr>
  </w:style>
  <w:style w:type="character" w:customStyle="1" w:styleId="29">
    <w:name w:val="章程小标题 Char"/>
    <w:link w:val="28"/>
    <w:qFormat/>
    <w:uiPriority w:val="0"/>
    <w:rPr>
      <w:rFonts w:ascii="方正小标宋简体" w:eastAsia="方正小标宋简体"/>
      <w:snapToGrid w:val="0"/>
      <w:color w:val="000000"/>
      <w:sz w:val="28"/>
      <w:szCs w:val="32"/>
    </w:rPr>
  </w:style>
  <w:style w:type="paragraph" w:styleId="30">
    <w:name w:val="List Paragraph"/>
    <w:basedOn w:val="1"/>
    <w:qFormat/>
    <w:uiPriority w:val="34"/>
    <w:pPr>
      <w:ind w:firstLine="420" w:firstLineChars="200"/>
    </w:pPr>
  </w:style>
  <w:style w:type="paragraph" w:customStyle="1" w:styleId="31">
    <w:name w:val="a公文一级标题"/>
    <w:basedOn w:val="1"/>
    <w:link w:val="32"/>
    <w:qFormat/>
    <w:uiPriority w:val="0"/>
    <w:pPr>
      <w:spacing w:line="560" w:lineRule="exact"/>
      <w:ind w:firstLine="880" w:firstLineChars="200"/>
    </w:pPr>
    <w:rPr>
      <w:rFonts w:eastAsia="黑体"/>
      <w:sz w:val="32"/>
      <w:szCs w:val="32"/>
    </w:rPr>
  </w:style>
  <w:style w:type="character" w:customStyle="1" w:styleId="32">
    <w:name w:val="a公文一级标题 Char"/>
    <w:link w:val="31"/>
    <w:qFormat/>
    <w:uiPriority w:val="0"/>
    <w:rPr>
      <w:rFonts w:eastAsia="黑体"/>
      <w:kern w:val="2"/>
      <w:sz w:val="32"/>
      <w:szCs w:val="32"/>
    </w:rPr>
  </w:style>
  <w:style w:type="paragraph" w:customStyle="1" w:styleId="33">
    <w:name w:val="公文大标题"/>
    <w:basedOn w:val="1"/>
    <w:link w:val="34"/>
    <w:qFormat/>
    <w:uiPriority w:val="0"/>
    <w:pPr>
      <w:spacing w:line="720" w:lineRule="exact"/>
      <w:jc w:val="center"/>
    </w:pPr>
    <w:rPr>
      <w:rFonts w:eastAsia="方正小标宋简体"/>
      <w:sz w:val="44"/>
      <w:szCs w:val="32"/>
    </w:rPr>
  </w:style>
  <w:style w:type="character" w:customStyle="1" w:styleId="34">
    <w:name w:val="公文大标题 Char"/>
    <w:link w:val="33"/>
    <w:qFormat/>
    <w:uiPriority w:val="0"/>
    <w:rPr>
      <w:rFonts w:eastAsia="方正小标宋简体"/>
      <w:kern w:val="2"/>
      <w:sz w:val="44"/>
      <w:szCs w:val="32"/>
    </w:rPr>
  </w:style>
  <w:style w:type="paragraph" w:customStyle="1" w:styleId="35">
    <w:name w:val="材料章程小标题"/>
    <w:basedOn w:val="25"/>
    <w:link w:val="36"/>
    <w:qFormat/>
    <w:uiPriority w:val="0"/>
    <w:pPr>
      <w:spacing w:beforeLines="50" w:afterLines="50"/>
      <w:ind w:firstLine="0" w:firstLineChars="0"/>
      <w:jc w:val="center"/>
    </w:pPr>
    <w:rPr>
      <w:rFonts w:ascii="方正小标宋简体" w:eastAsia="方正小标宋简体"/>
      <w:szCs w:val="32"/>
    </w:rPr>
  </w:style>
  <w:style w:type="character" w:customStyle="1" w:styleId="36">
    <w:name w:val="材料章程小标题 Char"/>
    <w:link w:val="35"/>
    <w:qFormat/>
    <w:uiPriority w:val="0"/>
    <w:rPr>
      <w:rFonts w:ascii="方正小标宋简体" w:eastAsia="方正小标宋简体"/>
      <w:snapToGrid w:val="0"/>
      <w:color w:val="000000"/>
      <w:sz w:val="28"/>
      <w:szCs w:val="32"/>
    </w:rPr>
  </w:style>
  <w:style w:type="paragraph" w:customStyle="1" w:styleId="37">
    <w:name w:val="公文章程标题"/>
    <w:basedOn w:val="35"/>
    <w:link w:val="38"/>
    <w:qFormat/>
    <w:uiPriority w:val="0"/>
    <w:pPr>
      <w:spacing w:beforeLines="100" w:afterLines="100"/>
    </w:pPr>
    <w:rPr>
      <w:sz w:val="32"/>
    </w:rPr>
  </w:style>
  <w:style w:type="character" w:customStyle="1" w:styleId="38">
    <w:name w:val="公文章程标题 Char"/>
    <w:link w:val="37"/>
    <w:qFormat/>
    <w:uiPriority w:val="0"/>
    <w:rPr>
      <w:rFonts w:ascii="方正小标宋简体" w:eastAsia="方正小标宋简体"/>
      <w:snapToGrid w:val="0"/>
      <w:color w:val="000000"/>
      <w:sz w:val="32"/>
      <w:szCs w:val="32"/>
    </w:rPr>
  </w:style>
  <w:style w:type="paragraph" w:customStyle="1" w:styleId="39">
    <w:name w:val="a公文正文"/>
    <w:basedOn w:val="1"/>
    <w:link w:val="40"/>
    <w:qFormat/>
    <w:uiPriority w:val="0"/>
    <w:pPr>
      <w:spacing w:line="560" w:lineRule="exact"/>
      <w:ind w:firstLine="200" w:firstLineChars="200"/>
    </w:pPr>
    <w:rPr>
      <w:rFonts w:eastAsia="仿宋_GB2312"/>
      <w:sz w:val="32"/>
      <w:szCs w:val="32"/>
    </w:rPr>
  </w:style>
  <w:style w:type="character" w:customStyle="1" w:styleId="40">
    <w:name w:val="a公文正文 Char"/>
    <w:link w:val="39"/>
    <w:qFormat/>
    <w:uiPriority w:val="0"/>
    <w:rPr>
      <w:rFonts w:eastAsia="仿宋_GB2312"/>
      <w:kern w:val="2"/>
      <w:sz w:val="32"/>
      <w:szCs w:val="32"/>
    </w:rPr>
  </w:style>
  <w:style w:type="paragraph" w:customStyle="1" w:styleId="41">
    <w:name w:val="a公文章程标题"/>
    <w:basedOn w:val="35"/>
    <w:link w:val="42"/>
    <w:qFormat/>
    <w:uiPriority w:val="0"/>
    <w:pPr>
      <w:spacing w:beforeLines="100" w:afterLines="100"/>
    </w:pPr>
    <w:rPr>
      <w:sz w:val="32"/>
    </w:rPr>
  </w:style>
  <w:style w:type="character" w:customStyle="1" w:styleId="42">
    <w:name w:val="a公文章程标题 Char"/>
    <w:link w:val="41"/>
    <w:qFormat/>
    <w:uiPriority w:val="0"/>
    <w:rPr>
      <w:rFonts w:ascii="方正小标宋简体" w:eastAsia="方正小标宋简体"/>
      <w:snapToGrid w:val="0"/>
      <w:color w:val="000000"/>
      <w:sz w:val="32"/>
      <w:szCs w:val="32"/>
    </w:rPr>
  </w:style>
  <w:style w:type="character" w:customStyle="1" w:styleId="43">
    <w:name w:val="批注框文本 字符"/>
    <w:link w:val="3"/>
    <w:semiHidden/>
    <w:qFormat/>
    <w:uiPriority w:val="99"/>
    <w:rPr>
      <w:kern w:val="2"/>
      <w:sz w:val="18"/>
      <w:szCs w:val="18"/>
    </w:rPr>
  </w:style>
  <w:style w:type="paragraph" w:customStyle="1" w:styleId="44">
    <w:name w:val="a表格"/>
    <w:basedOn w:val="1"/>
    <w:link w:val="45"/>
    <w:qFormat/>
    <w:uiPriority w:val="0"/>
    <w:pPr>
      <w:spacing w:line="560" w:lineRule="exact"/>
    </w:pPr>
    <w:rPr>
      <w:rFonts w:eastAsia="仿宋_GB2312"/>
      <w:w w:val="90"/>
    </w:rPr>
  </w:style>
  <w:style w:type="character" w:customStyle="1" w:styleId="45">
    <w:name w:val="a表格 Char"/>
    <w:link w:val="44"/>
    <w:qFormat/>
    <w:uiPriority w:val="0"/>
    <w:rPr>
      <w:rFonts w:eastAsia="仿宋_GB2312"/>
      <w:w w:val="90"/>
      <w:kern w:val="2"/>
      <w:sz w:val="21"/>
      <w:szCs w:val="24"/>
    </w:rPr>
  </w:style>
  <w:style w:type="paragraph" w:customStyle="1" w:styleId="46">
    <w:name w:val="Revision"/>
    <w:hidden/>
    <w:semiHidden/>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19</Pages>
  <Words>9067</Words>
  <Characters>9116</Characters>
  <Lines>66</Lines>
  <Paragraphs>18</Paragraphs>
  <TotalTime>76</TotalTime>
  <ScaleCrop>false</ScaleCrop>
  <LinksUpToDate>false</LinksUpToDate>
  <CharactersWithSpaces>9221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2022-09-26T02:41:00Z</dcterms:created>
  <dc:creator>刘军英</dc:creator>
  <cp:lastModifiedBy>wdp</cp:lastModifiedBy>
  <cp:lastPrinted>2022-10-12T02:40:00Z</cp:lastPrinted>
  <dcterms:modified xsi:type="dcterms:W3CDTF">2025-09-09T08:28:36Z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6E490EE3493843FF926E657FC72C9B92_13</vt:lpwstr>
  </property>
</Properties>
</file>